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527D" w:rsidRDefault="00CE3754">
      <w:bookmarkStart w:id="0" w:name="_GoBack"/>
      <w:bookmarkEnd w:id="0"/>
      <w:r>
        <w:t>[tradução não-oficial]</w:t>
      </w:r>
    </w:p>
    <w:p w:rsidR="0099527D" w:rsidRDefault="0099527D"/>
    <w:p w:rsidR="0099527D" w:rsidRDefault="00CE3754">
      <w:r>
        <w:t xml:space="preserve">Mandato do Relator Especial das Nações Unidas </w:t>
      </w:r>
      <w:r w:rsidR="00E43C90">
        <w:t>sobre</w:t>
      </w:r>
      <w:r>
        <w:t xml:space="preserve"> </w:t>
      </w:r>
      <w:r w:rsidR="00E307FA">
        <w:t>a</w:t>
      </w:r>
      <w:r>
        <w:t xml:space="preserve"> liberdade de reunião e associação pacífica</w:t>
      </w:r>
    </w:p>
    <w:p w:rsidR="0099527D" w:rsidRDefault="0099527D"/>
    <w:p w:rsidR="0099527D" w:rsidRDefault="00CE3754">
      <w:pPr>
        <w:jc w:val="right"/>
      </w:pPr>
      <w:r>
        <w:t>9 de novembro de 2016.</w:t>
      </w:r>
    </w:p>
    <w:p w:rsidR="0099527D" w:rsidRDefault="0099527D"/>
    <w:p w:rsidR="0099527D" w:rsidRDefault="00CE3754">
      <w:r>
        <w:t xml:space="preserve">Vossa Excelência </w:t>
      </w:r>
    </w:p>
    <w:p w:rsidR="0099527D" w:rsidRDefault="00CE3754">
      <w:r>
        <w:t xml:space="preserve">Desembargador Paulo Dimas de </w:t>
      </w:r>
      <w:proofErr w:type="spellStart"/>
      <w:r>
        <w:t>Bellis</w:t>
      </w:r>
      <w:proofErr w:type="spellEnd"/>
      <w:r>
        <w:t xml:space="preserve"> </w:t>
      </w:r>
      <w:proofErr w:type="spellStart"/>
      <w:r>
        <w:t>Mascaretti</w:t>
      </w:r>
      <w:proofErr w:type="spellEnd"/>
    </w:p>
    <w:p w:rsidR="0099527D" w:rsidRDefault="00CE3754">
      <w:r>
        <w:t>Presidente Tribunal de Justiça de São Paulo</w:t>
      </w:r>
    </w:p>
    <w:p w:rsidR="0099527D" w:rsidRDefault="00CE3754">
      <w:r>
        <w:t xml:space="preserve">Praça da Sé, s/nº </w:t>
      </w:r>
      <w:proofErr w:type="spellStart"/>
      <w:r>
        <w:t>Cep</w:t>
      </w:r>
      <w:proofErr w:type="spellEnd"/>
      <w:r>
        <w:t xml:space="preserve"> 01018-010</w:t>
      </w:r>
    </w:p>
    <w:p w:rsidR="0099527D" w:rsidRDefault="00CE3754">
      <w:r>
        <w:t>São Paulo (SP) – Brasil</w:t>
      </w:r>
    </w:p>
    <w:p w:rsidR="0099527D" w:rsidRDefault="0099527D"/>
    <w:p w:rsidR="0099527D" w:rsidRDefault="00CE3754">
      <w:r>
        <w:t>C/c</w:t>
      </w:r>
    </w:p>
    <w:p w:rsidR="0099527D" w:rsidRDefault="00CE3754">
      <w:r>
        <w:t>Juiz Valentino Aparecido de Andrade</w:t>
      </w:r>
    </w:p>
    <w:p w:rsidR="0099527D" w:rsidRDefault="00CE3754">
      <w:r>
        <w:t>10º Vara de Fazenda Pública</w:t>
      </w:r>
    </w:p>
    <w:p w:rsidR="0099527D" w:rsidRDefault="00CE3754">
      <w:r>
        <w:t>Estado de São Paulo – Brasil</w:t>
      </w:r>
    </w:p>
    <w:p w:rsidR="0099527D" w:rsidRDefault="0099527D"/>
    <w:p w:rsidR="0099527D" w:rsidRDefault="0099527D"/>
    <w:p w:rsidR="0099527D" w:rsidRDefault="00CE3754">
      <w:r>
        <w:t xml:space="preserve">Exmo. Presidente Paulo Dimas de </w:t>
      </w:r>
      <w:proofErr w:type="spellStart"/>
      <w:r>
        <w:t>Bellis</w:t>
      </w:r>
      <w:proofErr w:type="spellEnd"/>
      <w:r>
        <w:t xml:space="preserve"> </w:t>
      </w:r>
      <w:proofErr w:type="spellStart"/>
      <w:r>
        <w:t>Mascaretti</w:t>
      </w:r>
      <w:proofErr w:type="spellEnd"/>
      <w:r>
        <w:t>,</w:t>
      </w:r>
    </w:p>
    <w:p w:rsidR="0099527D" w:rsidRDefault="0099527D"/>
    <w:p w:rsidR="0099527D" w:rsidRDefault="00CE3754" w:rsidP="00E43C90">
      <w:r>
        <w:t xml:space="preserve">Escrevo na capacidade de </w:t>
      </w:r>
      <w:r w:rsidR="00E43C90">
        <w:t>Relator Especial das Nações Unidas sobre a liberdade de reunião e associação pacífica</w:t>
      </w:r>
      <w:r>
        <w:t xml:space="preserve">. O mandato para </w:t>
      </w:r>
      <w:r w:rsidR="0099128A">
        <w:t xml:space="preserve">Relator Especial sobre a liberdade de reunião e associação pacífica </w:t>
      </w:r>
      <w:r>
        <w:t xml:space="preserve">foi estabelecido pela resolução 15/21 do Conselho de Direitos Humanos datada de outubro de 2010. </w:t>
      </w:r>
    </w:p>
    <w:p w:rsidR="0099527D" w:rsidRDefault="0099527D">
      <w:pPr>
        <w:jc w:val="both"/>
      </w:pPr>
    </w:p>
    <w:p w:rsidR="0099527D" w:rsidRDefault="00CE3754">
      <w:pPr>
        <w:jc w:val="both"/>
      </w:pPr>
      <w:r>
        <w:t>Fui informado da recente decisão tomada - e posteriormente suspensa - na ação civil pública de número 1016019-17.2014.8.26.0053, Defensoria Pública do Estado de São Paulo</w:t>
      </w:r>
      <w:r w:rsidR="0099128A">
        <w:t xml:space="preserve"> contra o Estado de São Paulo, </w:t>
      </w:r>
      <w:r>
        <w:t>que trata de salvaguardas constitucionais com relação ao direito à liberdade de reunião pacífica. Esse direito não é somente protegido pela Constituição do Brasi</w:t>
      </w:r>
      <w:r w:rsidR="0099128A">
        <w:t xml:space="preserve">l, como também pelo artigo 21º </w:t>
      </w:r>
      <w:r>
        <w:t>do Pacto Internacional sobre Direitos Civis e Políticos (ratificado pelo Brasil em 1992), e pelo artigo 15º da Convenção Americana sobre Direitos Humanos (ratificada pelo Brasil em 1992).</w:t>
      </w:r>
    </w:p>
    <w:p w:rsidR="0099527D" w:rsidRDefault="0099527D">
      <w:pPr>
        <w:jc w:val="both"/>
      </w:pPr>
    </w:p>
    <w:p w:rsidR="0099527D" w:rsidRDefault="00CE3754">
      <w:pPr>
        <w:jc w:val="both"/>
      </w:pPr>
      <w:r>
        <w:t xml:space="preserve">Eu fiquei desapontado em saber que a decisão do juiz de piso fora suspensa. Com efeito, eu havia escrito uma carta saudando o entendimento aplicado pela Corte em determinar que as autoridades responsáveis desenvolvam um protocolo para a atuação policial em protestos. Infelizmente, a sentença foi suspensa antes que a carta pudesse ter sido enviada. Escrevo ainda assim para articular porque acredito que a decisão inicial era tão importante - e potencialmente útil - para a gestão de protestos no Brasil. </w:t>
      </w:r>
    </w:p>
    <w:p w:rsidR="0099527D" w:rsidRDefault="0099527D">
      <w:pPr>
        <w:jc w:val="both"/>
      </w:pPr>
    </w:p>
    <w:p w:rsidR="0099527D" w:rsidRDefault="00CE3754">
      <w:pPr>
        <w:jc w:val="both"/>
      </w:pPr>
      <w:r>
        <w:t xml:space="preserve">Em minhas funções como Relator Especial, regularmente observo que tais planos de ação, embora críticos para garantir o respeito à reunião pacífica, estão ausentes ou incompletos. A recente decisão do juízo local é excepcional no sentido de que de fato focou em certos elementos necessários para garantir que a atuação policial esteja em conformidade com as leis, padrões e princípios internacionais. Alguns exemplos são que ordens de dispersar devem somente ser utilizadas em circunstâncias excepcionais e seguindo comunicação clara por parte das autoridades, o uso de armas de fogo e balas de borracha não podem ser </w:t>
      </w:r>
      <w:r>
        <w:lastRenderedPageBreak/>
        <w:t>utilizados em controle ordinário de multidões e os oficiais da polícia necessitam estar claramente identificados.</w:t>
      </w:r>
    </w:p>
    <w:p w:rsidR="0099527D" w:rsidRDefault="0099527D">
      <w:pPr>
        <w:jc w:val="both"/>
      </w:pPr>
    </w:p>
    <w:p w:rsidR="0099527D" w:rsidRDefault="00CE3754">
      <w:pPr>
        <w:jc w:val="both"/>
      </w:pPr>
      <w:r>
        <w:t xml:space="preserve">Mesmo que eu tenha reservas, de forma geral, com o papel desempenhado pela Polícia Militar ao invés de autoridades civis na gestão de manifestações no Brasil, acredito que um protocolo para sua atuação pode melhorar substancialmente essa gestão e desta maneira melhor proteger o interesse público, a segurança e facilitar a atividade policial. </w:t>
      </w:r>
    </w:p>
    <w:p w:rsidR="0099527D" w:rsidRDefault="0099527D">
      <w:pPr>
        <w:jc w:val="both"/>
      </w:pPr>
    </w:p>
    <w:p w:rsidR="0099527D" w:rsidRDefault="00CE3754">
      <w:pPr>
        <w:jc w:val="both"/>
      </w:pPr>
      <w:r>
        <w:t xml:space="preserve">Em relação ao caso, eu gostaria de compartilhar um importante documento que pode auxiliar todas as partes envolvidas no detalhamento deste protocolo de atuação. Trata-se do Relatório Conjunto do Relator Especial sobre a liberdade de reunião e associação pacífica e do Relator Especial sobre execuções extrajudiciais, sumárias ou arbitrárias para a Gestão Adequada de Manifestações (UN </w:t>
      </w:r>
      <w:proofErr w:type="spellStart"/>
      <w:r>
        <w:t>Doc</w:t>
      </w:r>
      <w:proofErr w:type="spellEnd"/>
      <w:r>
        <w:t xml:space="preserve"> A/HRC/31/66) que traz uma compilação de recomendações práticas. O Conselho de Direitos Humanos da ONU solicitou aos dois Relatores Especiais essa tarefa em março de 2014 através da resolução 25/38 e o relatório foi apresentado ao Conselho de Direitos Humanos em março de 2016.</w:t>
      </w:r>
    </w:p>
    <w:p w:rsidR="0099527D" w:rsidRDefault="0099527D">
      <w:pPr>
        <w:jc w:val="both"/>
      </w:pPr>
    </w:p>
    <w:p w:rsidR="0099527D" w:rsidRDefault="00CE3754">
      <w:pPr>
        <w:jc w:val="both"/>
      </w:pPr>
      <w:r>
        <w:t xml:space="preserve">A compilação de recomendações tem como objetivo fornecer orientação para situações como a que se apresentou perante o seu Tribunal, com recomendações práticas sobre como os padrões internacionais de direitos humanos aplicáveis podem ser operacionalizados na legislação doméstica e também em suas práticas. As recomendações estão organizadas em dez princípios gerais, e cada sessão é precedida de um sumário dos padrões internacionais aplicáveis. Cordialmente convido Vossa Excelência a distribuir o valioso conteúdo deste documento com todas as partes envolvidas nessa decisão para que possam se beneficiar dele caso - ou não - a Corte ao final determinar o detalhamento do protocolo de atuação policial em protestos. </w:t>
      </w:r>
    </w:p>
    <w:p w:rsidR="0099527D" w:rsidRDefault="0099527D">
      <w:pPr>
        <w:jc w:val="both"/>
      </w:pPr>
    </w:p>
    <w:p w:rsidR="0099527D" w:rsidRDefault="00CE3754">
      <w:pPr>
        <w:jc w:val="both"/>
      </w:pPr>
      <w:r>
        <w:t>Meu escritório também desenvolveu uma ferramenta prática para monitorar a implementação das recomendações contidas no Relatório Conjunto. Pode ser encontrada através do endereço: http://freeassembly.net/all-reports/toolkit-reports. Essa ferramenta pode, sem dúvidas, servir no processo de longo prazo de melhoria da gestão de manifestações e fazer avançar o respeito ao direito à liberdade de reunião pacífica no Estado de São Paulo e em todo o Brasil.</w:t>
      </w:r>
    </w:p>
    <w:p w:rsidR="0099527D" w:rsidRDefault="0099527D">
      <w:pPr>
        <w:jc w:val="both"/>
      </w:pPr>
    </w:p>
    <w:p w:rsidR="0099527D" w:rsidRDefault="00CE3754">
      <w:pPr>
        <w:jc w:val="both"/>
      </w:pPr>
      <w:r>
        <w:t>Estarei no aguardo para ler o protocolo de atuação e permaneço a disposição para qualquer assistência que as partes envolvidas sintam ser útil.</w:t>
      </w:r>
    </w:p>
    <w:p w:rsidR="0099527D" w:rsidRDefault="0099527D">
      <w:pPr>
        <w:jc w:val="both"/>
      </w:pPr>
    </w:p>
    <w:p w:rsidR="0099527D" w:rsidRDefault="00CE3754">
      <w:pPr>
        <w:jc w:val="both"/>
      </w:pPr>
      <w:r>
        <w:t>Com meus sinceros cumprimentos,</w:t>
      </w:r>
    </w:p>
    <w:p w:rsidR="0099527D" w:rsidRDefault="0099527D">
      <w:pPr>
        <w:jc w:val="both"/>
      </w:pPr>
    </w:p>
    <w:p w:rsidR="0099527D" w:rsidRDefault="0099527D">
      <w:pPr>
        <w:jc w:val="both"/>
      </w:pPr>
    </w:p>
    <w:p w:rsidR="0099527D" w:rsidRDefault="00CE3754">
      <w:pPr>
        <w:jc w:val="both"/>
      </w:pPr>
      <w:r>
        <w:t>Maina Kiai</w:t>
      </w:r>
    </w:p>
    <w:p w:rsidR="0099527D" w:rsidRDefault="00CE3754">
      <w:pPr>
        <w:jc w:val="both"/>
      </w:pPr>
      <w:r>
        <w:t>Relator Especial sobre a liberdade de reunião e associação pacífica</w:t>
      </w:r>
    </w:p>
    <w:p w:rsidR="0099527D" w:rsidRDefault="0099527D">
      <w:pPr>
        <w:jc w:val="both"/>
      </w:pPr>
    </w:p>
    <w:p w:rsidR="0099527D" w:rsidRDefault="00CE3754">
      <w:pPr>
        <w:jc w:val="both"/>
      </w:pPr>
      <w:proofErr w:type="spellStart"/>
      <w:r w:rsidRPr="00CE3754">
        <w:rPr>
          <w:lang w:val="en-US"/>
        </w:rPr>
        <w:t>Anexo</w:t>
      </w:r>
      <w:proofErr w:type="spellEnd"/>
      <w:r w:rsidRPr="00CE3754">
        <w:rPr>
          <w:lang w:val="en-US"/>
        </w:rPr>
        <w:t xml:space="preserve"> 1. </w:t>
      </w:r>
      <w:r w:rsidRPr="00CE3754">
        <w:t>Declaração de Identidade Relator Especial da ONU, Maina Kiai.</w:t>
      </w:r>
    </w:p>
    <w:p w:rsidR="0099527D" w:rsidRDefault="0099527D">
      <w:pPr>
        <w:jc w:val="both"/>
      </w:pPr>
    </w:p>
    <w:p w:rsidR="0099527D" w:rsidRDefault="00CE3754">
      <w:pPr>
        <w:jc w:val="both"/>
      </w:pPr>
      <w:r w:rsidRPr="00292AA2">
        <w:rPr>
          <w:lang w:val="es-CO"/>
        </w:rPr>
        <w:t xml:space="preserve">Anexo 2. Conselho de Direitos Humanos da ONU, </w:t>
      </w:r>
      <w:r w:rsidRPr="00CE3754">
        <w:rPr>
          <w:i/>
          <w:lang w:val="es-CO"/>
        </w:rPr>
        <w:t xml:space="preserve">Informe conjunto del Relator Especial sobre los derechos a la libertad de reunión pacífica y de asociación y el Relator Especial </w:t>
      </w:r>
      <w:r w:rsidRPr="00CE3754">
        <w:rPr>
          <w:i/>
          <w:lang w:val="es-CO"/>
        </w:rPr>
        <w:lastRenderedPageBreak/>
        <w:t xml:space="preserve">sobre las ejecuciones extrajudiciales, sumarias o arbitrarias acerca de la gestión adecuada de las manifestaciones , </w:t>
      </w:r>
      <w:r w:rsidRPr="00292AA2">
        <w:rPr>
          <w:lang w:val="es-CO"/>
        </w:rPr>
        <w:t xml:space="preserve">UN Doc. </w:t>
      </w:r>
      <w:r>
        <w:t>A/HRC/31/66</w:t>
      </w:r>
    </w:p>
    <w:p w:rsidR="0099527D" w:rsidRDefault="0099527D"/>
    <w:sectPr w:rsidR="0099527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7D"/>
    <w:rsid w:val="00292AA2"/>
    <w:rsid w:val="0087394E"/>
    <w:rsid w:val="0099128A"/>
    <w:rsid w:val="0099527D"/>
    <w:rsid w:val="00AE6650"/>
    <w:rsid w:val="00CE3754"/>
    <w:rsid w:val="00E307FA"/>
    <w:rsid w:val="00E4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900</Words>
  <Characters>4510</Characters>
  <Application>Microsoft Macintosh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Cernov</dc:creator>
  <cp:lastModifiedBy>Jeff Vize</cp:lastModifiedBy>
  <cp:revision>2</cp:revision>
  <dcterms:created xsi:type="dcterms:W3CDTF">2017-01-28T06:28:00Z</dcterms:created>
  <dcterms:modified xsi:type="dcterms:W3CDTF">2017-01-28T06:28:00Z</dcterms:modified>
</cp:coreProperties>
</file>