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3121F" w14:textId="77777777" w:rsidR="00DA21E1" w:rsidRPr="004B5E1C" w:rsidRDefault="00C94AFD" w:rsidP="00DA21E1">
      <w:pPr>
        <w:jc w:val="center"/>
        <w:rPr>
          <w:rFonts w:ascii="Calibri" w:hAnsi="Calibri"/>
          <w:b/>
        </w:rPr>
      </w:pPr>
      <w:r w:rsidRPr="004B5E1C">
        <w:rPr>
          <w:rFonts w:ascii="Calibri" w:hAnsi="Calibri"/>
          <w:b/>
        </w:rPr>
        <w:t>UN General Assembly</w:t>
      </w:r>
      <w:r w:rsidR="00DA21E1" w:rsidRPr="004B5E1C">
        <w:rPr>
          <w:rFonts w:ascii="Calibri" w:hAnsi="Calibri"/>
          <w:b/>
        </w:rPr>
        <w:t xml:space="preserve"> Thematic Report</w:t>
      </w:r>
      <w:r w:rsidRPr="004B5E1C">
        <w:rPr>
          <w:rFonts w:ascii="Calibri" w:hAnsi="Calibri"/>
          <w:b/>
        </w:rPr>
        <w:t xml:space="preserve"> October 2015: </w:t>
      </w:r>
      <w:r w:rsidR="005B294F">
        <w:rPr>
          <w:rFonts w:ascii="Calibri" w:hAnsi="Calibri"/>
          <w:b/>
        </w:rPr>
        <w:t>“</w:t>
      </w:r>
      <w:r w:rsidR="00337E46" w:rsidRPr="004B5E1C">
        <w:rPr>
          <w:rFonts w:ascii="Calibri" w:hAnsi="Calibri"/>
          <w:b/>
        </w:rPr>
        <w:t>Getting down to business - a</w:t>
      </w:r>
      <w:r w:rsidRPr="004B5E1C">
        <w:rPr>
          <w:rFonts w:ascii="Calibri" w:hAnsi="Calibri"/>
          <w:b/>
        </w:rPr>
        <w:t xml:space="preserve"> </w:t>
      </w:r>
      <w:r w:rsidR="003960A6">
        <w:rPr>
          <w:rFonts w:ascii="Calibri" w:hAnsi="Calibri"/>
          <w:b/>
        </w:rPr>
        <w:t xml:space="preserve">comparative </w:t>
      </w:r>
      <w:r w:rsidRPr="004B5E1C">
        <w:rPr>
          <w:rFonts w:ascii="Calibri" w:hAnsi="Calibri"/>
          <w:b/>
        </w:rPr>
        <w:t xml:space="preserve">survey </w:t>
      </w:r>
      <w:r w:rsidR="003960A6">
        <w:rPr>
          <w:rFonts w:ascii="Calibri" w:hAnsi="Calibri"/>
          <w:b/>
        </w:rPr>
        <w:t>of</w:t>
      </w:r>
      <w:r w:rsidR="00337E46" w:rsidRPr="004B5E1C">
        <w:rPr>
          <w:rFonts w:ascii="Calibri" w:hAnsi="Calibri"/>
          <w:b/>
        </w:rPr>
        <w:t xml:space="preserve"> </w:t>
      </w:r>
      <w:r w:rsidRPr="004B5E1C">
        <w:rPr>
          <w:rFonts w:ascii="Calibri" w:hAnsi="Calibri"/>
          <w:b/>
        </w:rPr>
        <w:t xml:space="preserve">enabling environments for </w:t>
      </w:r>
      <w:r w:rsidR="00626BEC">
        <w:rPr>
          <w:rFonts w:ascii="Calibri" w:hAnsi="Calibri"/>
          <w:b/>
        </w:rPr>
        <w:t>businesses and associations</w:t>
      </w:r>
      <w:r w:rsidR="005B294F">
        <w:rPr>
          <w:rFonts w:ascii="Calibri" w:hAnsi="Calibri"/>
          <w:b/>
        </w:rPr>
        <w:t>”</w:t>
      </w:r>
    </w:p>
    <w:p w14:paraId="2E4B044F" w14:textId="77777777" w:rsidR="00DA21E1" w:rsidRPr="004B5E1C" w:rsidRDefault="00DA21E1" w:rsidP="007E1878">
      <w:pPr>
        <w:jc w:val="center"/>
        <w:rPr>
          <w:rFonts w:ascii="Calibri" w:hAnsi="Calibri"/>
          <w:b/>
        </w:rPr>
      </w:pPr>
      <w:r w:rsidRPr="004B5E1C">
        <w:rPr>
          <w:rFonts w:ascii="Calibri" w:hAnsi="Calibri"/>
          <w:b/>
        </w:rPr>
        <w:t xml:space="preserve">Expert Consultation – </w:t>
      </w:r>
      <w:r w:rsidR="00E31094">
        <w:rPr>
          <w:rFonts w:ascii="Calibri" w:hAnsi="Calibri"/>
          <w:b/>
        </w:rPr>
        <w:t>13-14</w:t>
      </w:r>
      <w:r w:rsidRPr="004B5E1C">
        <w:rPr>
          <w:rFonts w:ascii="Calibri" w:hAnsi="Calibri"/>
          <w:b/>
        </w:rPr>
        <w:t xml:space="preserve"> </w:t>
      </w:r>
      <w:r w:rsidR="00C94AFD" w:rsidRPr="004B5E1C">
        <w:rPr>
          <w:rFonts w:ascii="Calibri" w:hAnsi="Calibri"/>
          <w:b/>
        </w:rPr>
        <w:t>May 2015</w:t>
      </w:r>
    </w:p>
    <w:p w14:paraId="0EF10466" w14:textId="77777777" w:rsidR="00DA21E1" w:rsidRPr="004B5E1C" w:rsidRDefault="00DA21E1" w:rsidP="00A86584">
      <w:pPr>
        <w:jc w:val="center"/>
        <w:rPr>
          <w:rFonts w:ascii="Calibri" w:hAnsi="Calibri"/>
          <w:u w:val="single"/>
        </w:rPr>
      </w:pPr>
      <w:r w:rsidRPr="004B5E1C">
        <w:rPr>
          <w:rFonts w:ascii="Calibri" w:hAnsi="Calibri"/>
          <w:b/>
        </w:rPr>
        <w:t>Concept Note</w:t>
      </w:r>
    </w:p>
    <w:p w14:paraId="4F426B49" w14:textId="77777777" w:rsidR="00DA21E1" w:rsidRPr="004B5E1C" w:rsidRDefault="00A60921" w:rsidP="00C94AFD">
      <w:pPr>
        <w:pStyle w:val="ListParagraph"/>
        <w:numPr>
          <w:ilvl w:val="0"/>
          <w:numId w:val="2"/>
        </w:numPr>
        <w:rPr>
          <w:rFonts w:ascii="Calibri" w:hAnsi="Calibri"/>
          <w:u w:val="single"/>
        </w:rPr>
      </w:pPr>
      <w:r w:rsidRPr="004B5E1C">
        <w:rPr>
          <w:rFonts w:ascii="Calibri" w:hAnsi="Calibri"/>
          <w:u w:val="single"/>
        </w:rPr>
        <w:t>Introduction and background</w:t>
      </w:r>
    </w:p>
    <w:p w14:paraId="421AAC22" w14:textId="77777777" w:rsidR="00C94AFD" w:rsidRDefault="00C94AFD" w:rsidP="00C94AFD">
      <w:pPr>
        <w:rPr>
          <w:rFonts w:ascii="Calibri" w:hAnsi="Calibri"/>
        </w:rPr>
      </w:pPr>
    </w:p>
    <w:p w14:paraId="144A5B50" w14:textId="77777777" w:rsidR="004F227E" w:rsidRDefault="004F227E" w:rsidP="00C94AFD">
      <w:pPr>
        <w:rPr>
          <w:rFonts w:ascii="Calibri" w:hAnsi="Calibri"/>
        </w:rPr>
      </w:pPr>
      <w:r>
        <w:rPr>
          <w:rFonts w:ascii="Calibri" w:hAnsi="Calibri"/>
        </w:rPr>
        <w:t>At first glance, the business and civil society sectors may seem str</w:t>
      </w:r>
      <w:r w:rsidR="00380578">
        <w:rPr>
          <w:rFonts w:ascii="Calibri" w:hAnsi="Calibri"/>
        </w:rPr>
        <w:t>ange bedfellows for a comparative study</w:t>
      </w:r>
      <w:r>
        <w:rPr>
          <w:rFonts w:ascii="Calibri" w:hAnsi="Calibri"/>
        </w:rPr>
        <w:t>. In the mind of the public and policymakers, these two entities appear distinct, warranting separate rules</w:t>
      </w:r>
      <w:r w:rsidR="00380578">
        <w:rPr>
          <w:rFonts w:ascii="Calibri" w:hAnsi="Calibri"/>
        </w:rPr>
        <w:t xml:space="preserve"> and treatment</w:t>
      </w:r>
      <w:r>
        <w:rPr>
          <w:rFonts w:ascii="Calibri" w:hAnsi="Calibri"/>
        </w:rPr>
        <w:t xml:space="preserve">. </w:t>
      </w:r>
      <w:r w:rsidR="00A52085">
        <w:rPr>
          <w:rFonts w:ascii="Calibri" w:hAnsi="Calibri"/>
        </w:rPr>
        <w:t xml:space="preserve">The basis for this treatment seems to boil down to one dividing point: </w:t>
      </w:r>
      <w:r>
        <w:rPr>
          <w:rFonts w:ascii="Calibri" w:hAnsi="Calibri"/>
        </w:rPr>
        <w:t xml:space="preserve">One exists to make a profit; the other is non-profit. </w:t>
      </w:r>
    </w:p>
    <w:p w14:paraId="039DC011" w14:textId="77777777" w:rsidR="001B45E3" w:rsidRDefault="0038387F" w:rsidP="00C94AFD">
      <w:pPr>
        <w:rPr>
          <w:rFonts w:ascii="Calibri" w:hAnsi="Calibri"/>
        </w:rPr>
      </w:pPr>
      <w:r>
        <w:rPr>
          <w:rFonts w:ascii="Calibri" w:hAnsi="Calibri"/>
        </w:rPr>
        <w:t xml:space="preserve">But beyond their dissimilar profit motives, are businesses and </w:t>
      </w:r>
      <w:r w:rsidR="00780F71">
        <w:rPr>
          <w:rFonts w:ascii="Calibri" w:hAnsi="Calibri"/>
        </w:rPr>
        <w:t xml:space="preserve">associations </w:t>
      </w:r>
      <w:r>
        <w:rPr>
          <w:rFonts w:ascii="Calibri" w:hAnsi="Calibri"/>
        </w:rPr>
        <w:t xml:space="preserve">really that different? </w:t>
      </w:r>
    </w:p>
    <w:p w14:paraId="55DE01E6" w14:textId="77777777" w:rsidR="004A0D2C" w:rsidRDefault="0038387F" w:rsidP="0038387F">
      <w:pPr>
        <w:rPr>
          <w:rFonts w:ascii="Calibri" w:hAnsi="Calibri"/>
        </w:rPr>
      </w:pPr>
      <w:r>
        <w:rPr>
          <w:rFonts w:ascii="Calibri" w:hAnsi="Calibri"/>
        </w:rPr>
        <w:t xml:space="preserve">Both are non-state actors, potential employers, providers of goods and services, </w:t>
      </w:r>
      <w:r w:rsidR="008A3DD2">
        <w:rPr>
          <w:rFonts w:ascii="Calibri" w:hAnsi="Calibri"/>
        </w:rPr>
        <w:t xml:space="preserve">magnets for investment, </w:t>
      </w:r>
      <w:r>
        <w:rPr>
          <w:rFonts w:ascii="Calibri" w:hAnsi="Calibri"/>
        </w:rPr>
        <w:t xml:space="preserve">and possible platforms for mobilizing people and influencing policy. Both are crucial to economic and political development, both </w:t>
      </w:r>
      <w:r w:rsidR="002B1454">
        <w:rPr>
          <w:rFonts w:ascii="Calibri" w:hAnsi="Calibri"/>
        </w:rPr>
        <w:t>domestically and internationally</w:t>
      </w:r>
      <w:r w:rsidR="00C94AFD" w:rsidRPr="004B5E1C">
        <w:rPr>
          <w:rFonts w:ascii="Calibri" w:hAnsi="Calibri"/>
        </w:rPr>
        <w:t xml:space="preserve">. </w:t>
      </w:r>
      <w:r w:rsidR="00523710">
        <w:rPr>
          <w:rFonts w:ascii="Calibri" w:hAnsi="Calibri"/>
        </w:rPr>
        <w:t>And both have potential to enhance the protection and promotion of human rights.</w:t>
      </w:r>
    </w:p>
    <w:p w14:paraId="40FBB776" w14:textId="77777777" w:rsidR="00A056B8" w:rsidRDefault="00A056B8" w:rsidP="0038387F">
      <w:pPr>
        <w:rPr>
          <w:rFonts w:ascii="Calibri" w:hAnsi="Calibri"/>
        </w:rPr>
      </w:pPr>
      <w:r>
        <w:rPr>
          <w:rFonts w:ascii="Calibri" w:hAnsi="Calibri"/>
        </w:rPr>
        <w:t xml:space="preserve">Despite these sweeping similarities, </w:t>
      </w:r>
      <w:r w:rsidR="00523710">
        <w:rPr>
          <w:rFonts w:ascii="Calibri" w:hAnsi="Calibri"/>
        </w:rPr>
        <w:t xml:space="preserve">the </w:t>
      </w:r>
      <w:r w:rsidRPr="004B5E1C">
        <w:rPr>
          <w:rFonts w:ascii="Calibri" w:hAnsi="Calibri"/>
        </w:rPr>
        <w:t xml:space="preserve">UN Special Rapporteur </w:t>
      </w:r>
      <w:r w:rsidR="00523710">
        <w:rPr>
          <w:rFonts w:ascii="Calibri" w:hAnsi="Calibri"/>
        </w:rPr>
        <w:t xml:space="preserve">on the rights of freedom of assembly and association, Mr. </w:t>
      </w:r>
      <w:r w:rsidRPr="004B5E1C">
        <w:rPr>
          <w:rFonts w:ascii="Calibri" w:hAnsi="Calibri"/>
        </w:rPr>
        <w:t>Maina Kiai</w:t>
      </w:r>
      <w:r w:rsidR="00523710">
        <w:rPr>
          <w:rFonts w:ascii="Calibri" w:hAnsi="Calibri"/>
        </w:rPr>
        <w:t xml:space="preserve"> </w:t>
      </w:r>
      <w:r w:rsidRPr="004B5E1C">
        <w:rPr>
          <w:rFonts w:ascii="Calibri" w:hAnsi="Calibri"/>
        </w:rPr>
        <w:t xml:space="preserve">has observed </w:t>
      </w:r>
      <w:r>
        <w:rPr>
          <w:rFonts w:ascii="Calibri" w:hAnsi="Calibri"/>
        </w:rPr>
        <w:t xml:space="preserve">over </w:t>
      </w:r>
      <w:r w:rsidR="00C56F7B">
        <w:rPr>
          <w:rFonts w:ascii="Calibri" w:hAnsi="Calibri"/>
        </w:rPr>
        <w:t xml:space="preserve">the past four years </w:t>
      </w:r>
      <w:r w:rsidR="0084349A">
        <w:rPr>
          <w:rFonts w:ascii="Calibri" w:hAnsi="Calibri"/>
        </w:rPr>
        <w:t>that many governments do</w:t>
      </w:r>
      <w:r w:rsidR="00544C72">
        <w:rPr>
          <w:rFonts w:ascii="Calibri" w:hAnsi="Calibri"/>
        </w:rPr>
        <w:t>,</w:t>
      </w:r>
      <w:r w:rsidR="0084349A">
        <w:rPr>
          <w:rFonts w:ascii="Calibri" w:hAnsi="Calibri"/>
        </w:rPr>
        <w:t xml:space="preserve"> in fact</w:t>
      </w:r>
      <w:r w:rsidR="00544C72">
        <w:rPr>
          <w:rFonts w:ascii="Calibri" w:hAnsi="Calibri"/>
        </w:rPr>
        <w:t>,</w:t>
      </w:r>
      <w:r w:rsidRPr="004B5E1C">
        <w:rPr>
          <w:rFonts w:ascii="Calibri" w:hAnsi="Calibri"/>
        </w:rPr>
        <w:t xml:space="preserve"> single out CSOs for special treatment – not all of it good.</w:t>
      </w:r>
    </w:p>
    <w:p w14:paraId="13B9FAB8" w14:textId="77777777" w:rsidR="00C94AFD" w:rsidRPr="004B5E1C" w:rsidRDefault="00C94AFD" w:rsidP="00C94AFD">
      <w:pPr>
        <w:rPr>
          <w:rFonts w:ascii="Calibri" w:hAnsi="Calibri"/>
        </w:rPr>
      </w:pPr>
      <w:r w:rsidRPr="004B5E1C">
        <w:rPr>
          <w:rFonts w:ascii="Calibri" w:hAnsi="Calibri"/>
        </w:rPr>
        <w:t xml:space="preserve">The reasons for this difference in treatment are not always clear, and are often suspicious on their face. In </w:t>
      </w:r>
      <w:r w:rsidR="00C745E3">
        <w:rPr>
          <w:rFonts w:ascii="Calibri" w:hAnsi="Calibri"/>
        </w:rPr>
        <w:t>some countries</w:t>
      </w:r>
      <w:r w:rsidRPr="004B5E1C">
        <w:rPr>
          <w:rFonts w:ascii="Calibri" w:hAnsi="Calibri"/>
        </w:rPr>
        <w:t xml:space="preserve">, for example, a business can be registered in a matter of hours, while NGO registration can take months. In </w:t>
      </w:r>
      <w:r w:rsidR="00C745E3">
        <w:rPr>
          <w:rFonts w:ascii="Calibri" w:hAnsi="Calibri"/>
        </w:rPr>
        <w:t>others</w:t>
      </w:r>
      <w:r w:rsidRPr="004B5E1C">
        <w:rPr>
          <w:rFonts w:ascii="Calibri" w:hAnsi="Calibri"/>
        </w:rPr>
        <w:t xml:space="preserve">, it is forbidden to start a new association with the same </w:t>
      </w:r>
      <w:proofErr w:type="gramStart"/>
      <w:r w:rsidRPr="004B5E1C">
        <w:rPr>
          <w:rFonts w:ascii="Calibri" w:hAnsi="Calibri"/>
        </w:rPr>
        <w:t>broadly-defined</w:t>
      </w:r>
      <w:proofErr w:type="gramEnd"/>
      <w:r w:rsidRPr="004B5E1C">
        <w:rPr>
          <w:rFonts w:ascii="Calibri" w:hAnsi="Calibri"/>
        </w:rPr>
        <w:t xml:space="preserve"> “purpose” as a pre-existing association; no such regulation exists for businesses. Public events may be comparatively easy for businesses to organize when compared to social or political rallies organized by civil society. And around the world, businesses – particularly large ones – frequently have superior access to the halls of power when compared to CSOs. </w:t>
      </w:r>
    </w:p>
    <w:p w14:paraId="60D417F1" w14:textId="77777777" w:rsidR="00C94AFD" w:rsidRPr="004B5E1C" w:rsidRDefault="00C94AFD" w:rsidP="00C94AFD">
      <w:pPr>
        <w:rPr>
          <w:rFonts w:ascii="Calibri" w:hAnsi="Calibri"/>
        </w:rPr>
      </w:pPr>
      <w:r w:rsidRPr="004B5E1C">
        <w:rPr>
          <w:rFonts w:ascii="Calibri" w:hAnsi="Calibri"/>
        </w:rPr>
        <w:t xml:space="preserve">Sometimes the disparity even slips into government policies on aid money: A growing number of </w:t>
      </w:r>
      <w:r w:rsidR="001B6138">
        <w:rPr>
          <w:rFonts w:ascii="Calibri" w:hAnsi="Calibri"/>
        </w:rPr>
        <w:t>States</w:t>
      </w:r>
      <w:r w:rsidRPr="004B5E1C">
        <w:rPr>
          <w:rFonts w:ascii="Calibri" w:hAnsi="Calibri"/>
        </w:rPr>
        <w:t xml:space="preserve"> </w:t>
      </w:r>
      <w:r w:rsidR="00523710">
        <w:rPr>
          <w:rFonts w:ascii="Calibri" w:hAnsi="Calibri"/>
        </w:rPr>
        <w:t>have placed</w:t>
      </w:r>
      <w:r w:rsidRPr="004B5E1C">
        <w:rPr>
          <w:rFonts w:ascii="Calibri" w:hAnsi="Calibri"/>
        </w:rPr>
        <w:t xml:space="preserve"> severe restrictions on foreign donations to civil society, effectively outlawing the practice. There appear to be comparatively few such restrictions for businesses seeking foreign investments</w:t>
      </w:r>
      <w:r w:rsidR="000215BA">
        <w:rPr>
          <w:rFonts w:ascii="Calibri" w:hAnsi="Calibri"/>
        </w:rPr>
        <w:t xml:space="preserve">. </w:t>
      </w:r>
      <w:r w:rsidRPr="004B5E1C">
        <w:rPr>
          <w:rFonts w:ascii="Calibri" w:hAnsi="Calibri"/>
        </w:rPr>
        <w:t xml:space="preserve">And in some jurisdictions, it may even be easier for a profit-making entity to receive </w:t>
      </w:r>
      <w:r w:rsidR="00157776">
        <w:rPr>
          <w:rFonts w:ascii="Calibri" w:hAnsi="Calibri"/>
        </w:rPr>
        <w:t xml:space="preserve">foreign investment </w:t>
      </w:r>
      <w:r w:rsidRPr="004B5E1C">
        <w:rPr>
          <w:rFonts w:ascii="Calibri" w:hAnsi="Calibri"/>
        </w:rPr>
        <w:t xml:space="preserve">than </w:t>
      </w:r>
      <w:r w:rsidR="00157776">
        <w:rPr>
          <w:rFonts w:ascii="Calibri" w:hAnsi="Calibri"/>
        </w:rPr>
        <w:t xml:space="preserve">it is for </w:t>
      </w:r>
      <w:r w:rsidRPr="004B5E1C">
        <w:rPr>
          <w:rFonts w:ascii="Calibri" w:hAnsi="Calibri"/>
        </w:rPr>
        <w:t>non-profit CSOs</w:t>
      </w:r>
      <w:r w:rsidR="00157776">
        <w:rPr>
          <w:rFonts w:ascii="Calibri" w:hAnsi="Calibri"/>
        </w:rPr>
        <w:t xml:space="preserve"> to receive donations</w:t>
      </w:r>
      <w:r w:rsidRPr="004B5E1C">
        <w:rPr>
          <w:rFonts w:ascii="Calibri" w:hAnsi="Calibri"/>
        </w:rPr>
        <w:t>.</w:t>
      </w:r>
      <w:r w:rsidR="000215BA">
        <w:rPr>
          <w:rFonts w:ascii="Calibri" w:hAnsi="Calibri"/>
        </w:rPr>
        <w:t xml:space="preserve"> </w:t>
      </w:r>
    </w:p>
    <w:p w14:paraId="43A7741C" w14:textId="1C55B0AB" w:rsidR="00C94AFD" w:rsidRPr="004B5E1C" w:rsidRDefault="00C94AFD" w:rsidP="00C94AFD">
      <w:pPr>
        <w:rPr>
          <w:rFonts w:ascii="Calibri" w:hAnsi="Calibri"/>
        </w:rPr>
      </w:pPr>
      <w:r w:rsidRPr="004B5E1C">
        <w:rPr>
          <w:rFonts w:ascii="Calibri" w:hAnsi="Calibri"/>
        </w:rPr>
        <w:t xml:space="preserve">For his next report to the UN General Assembly (October 2015), </w:t>
      </w:r>
      <w:r w:rsidR="00523710">
        <w:rPr>
          <w:rFonts w:ascii="Calibri" w:hAnsi="Calibri"/>
        </w:rPr>
        <w:t xml:space="preserve">the </w:t>
      </w:r>
      <w:r w:rsidRPr="004B5E1C">
        <w:rPr>
          <w:rFonts w:ascii="Calibri" w:hAnsi="Calibri"/>
        </w:rPr>
        <w:t>Special Rapporteur will explore the disparate treatment by governments’ and the international c</w:t>
      </w:r>
      <w:r w:rsidR="00B80488">
        <w:rPr>
          <w:rFonts w:ascii="Calibri" w:hAnsi="Calibri"/>
        </w:rPr>
        <w:t>ommunity of businesses and CSOs</w:t>
      </w:r>
      <w:r w:rsidR="00FC747E">
        <w:rPr>
          <w:rFonts w:ascii="Calibri" w:hAnsi="Calibri"/>
        </w:rPr>
        <w:t>.</w:t>
      </w:r>
      <w:r w:rsidR="0051647D">
        <w:rPr>
          <w:rFonts w:ascii="Calibri" w:hAnsi="Calibri"/>
        </w:rPr>
        <w:t xml:space="preserve"> </w:t>
      </w:r>
    </w:p>
    <w:p w14:paraId="0A1E1DCF" w14:textId="77777777" w:rsidR="00523710" w:rsidRDefault="00FC747E" w:rsidP="00523710">
      <w:pPr>
        <w:rPr>
          <w:rFonts w:ascii="Calibri" w:hAnsi="Calibri"/>
        </w:rPr>
      </w:pPr>
      <w:r>
        <w:rPr>
          <w:rFonts w:ascii="Calibri" w:hAnsi="Calibri"/>
        </w:rPr>
        <w:t xml:space="preserve">The report will survey law, </w:t>
      </w:r>
      <w:r w:rsidR="00C94AFD" w:rsidRPr="004B5E1C">
        <w:rPr>
          <w:rFonts w:ascii="Calibri" w:hAnsi="Calibri"/>
        </w:rPr>
        <w:t xml:space="preserve">practice </w:t>
      </w:r>
      <w:r>
        <w:rPr>
          <w:rFonts w:ascii="Calibri" w:hAnsi="Calibri"/>
        </w:rPr>
        <w:t xml:space="preserve">and perception </w:t>
      </w:r>
      <w:r w:rsidR="00C94AFD" w:rsidRPr="004B5E1C">
        <w:rPr>
          <w:rFonts w:ascii="Calibri" w:hAnsi="Calibri"/>
        </w:rPr>
        <w:t xml:space="preserve">in a number of jurisdictions around the world, with a focus on identifying how CSOs and businesses are treated differently as legal entities, for better or for worse. </w:t>
      </w:r>
      <w:r w:rsidR="00523710">
        <w:rPr>
          <w:rFonts w:ascii="Calibri" w:hAnsi="Calibri"/>
        </w:rPr>
        <w:t xml:space="preserve">It will aim at providing a comparative survey of the enabling environment for both businesses and CSOs worldwide. </w:t>
      </w:r>
    </w:p>
    <w:p w14:paraId="406A3430" w14:textId="77777777" w:rsidR="00263CA9" w:rsidRDefault="00263CA9" w:rsidP="00981C35">
      <w:pPr>
        <w:rPr>
          <w:rFonts w:ascii="Calibri" w:hAnsi="Calibri"/>
        </w:rPr>
      </w:pPr>
    </w:p>
    <w:p w14:paraId="4560F2CC" w14:textId="77777777" w:rsidR="00523710" w:rsidRDefault="00523710" w:rsidP="00523710">
      <w:pPr>
        <w:rPr>
          <w:rFonts w:ascii="Calibri" w:hAnsi="Calibri"/>
        </w:rPr>
      </w:pPr>
      <w:r>
        <w:rPr>
          <w:rFonts w:ascii="Calibri" w:hAnsi="Calibri"/>
        </w:rPr>
        <w:lastRenderedPageBreak/>
        <w:t xml:space="preserve">Specific thematic areas to be examined in the report will include: </w:t>
      </w:r>
      <w:r w:rsidRPr="00120947">
        <w:rPr>
          <w:rFonts w:ascii="Calibri" w:hAnsi="Calibri"/>
        </w:rPr>
        <w:t>(1) barriers/ease of entry; (2) barriers/ease of activities</w:t>
      </w:r>
      <w:r>
        <w:rPr>
          <w:rFonts w:ascii="Calibri" w:hAnsi="Calibri"/>
        </w:rPr>
        <w:t xml:space="preserve"> in general</w:t>
      </w:r>
      <w:r w:rsidRPr="00120947">
        <w:rPr>
          <w:rFonts w:ascii="Calibri" w:hAnsi="Calibri"/>
        </w:rPr>
        <w:t xml:space="preserve">; (3) barriers/ease to </w:t>
      </w:r>
      <w:r>
        <w:rPr>
          <w:rFonts w:ascii="Calibri" w:hAnsi="Calibri"/>
        </w:rPr>
        <w:t>expressive activities</w:t>
      </w:r>
      <w:r w:rsidRPr="00120947">
        <w:rPr>
          <w:rFonts w:ascii="Calibri" w:hAnsi="Calibri"/>
        </w:rPr>
        <w:t>; (4) barriers/ease to solicit, receive and utilize resources; (5) barriers/ease to assembly</w:t>
      </w:r>
      <w:r>
        <w:rPr>
          <w:rFonts w:ascii="Calibri" w:hAnsi="Calibri"/>
        </w:rPr>
        <w:t xml:space="preserve"> rights</w:t>
      </w:r>
      <w:r w:rsidRPr="00120947">
        <w:rPr>
          <w:rFonts w:ascii="Calibri" w:hAnsi="Calibri"/>
        </w:rPr>
        <w:t xml:space="preserve">; (6) barriers/ease </w:t>
      </w:r>
      <w:r>
        <w:rPr>
          <w:rFonts w:ascii="Calibri" w:hAnsi="Calibri"/>
        </w:rPr>
        <w:t xml:space="preserve">in accessing </w:t>
      </w:r>
      <w:r w:rsidRPr="00120947">
        <w:rPr>
          <w:rFonts w:ascii="Calibri" w:hAnsi="Calibri"/>
        </w:rPr>
        <w:t>international contact</w:t>
      </w:r>
      <w:r>
        <w:rPr>
          <w:rFonts w:ascii="Calibri" w:hAnsi="Calibri"/>
        </w:rPr>
        <w:t>s</w:t>
      </w:r>
      <w:r w:rsidRPr="00120947">
        <w:rPr>
          <w:rFonts w:ascii="Calibri" w:hAnsi="Calibri"/>
        </w:rPr>
        <w:t xml:space="preserve"> and national decision makers.</w:t>
      </w:r>
    </w:p>
    <w:p w14:paraId="334F6263" w14:textId="77777777" w:rsidR="00981C35" w:rsidRPr="004B5E1C" w:rsidRDefault="00523710" w:rsidP="00981C35">
      <w:pPr>
        <w:rPr>
          <w:rFonts w:ascii="Calibri" w:hAnsi="Calibri"/>
        </w:rPr>
      </w:pPr>
      <w:r>
        <w:rPr>
          <w:rFonts w:ascii="Calibri" w:hAnsi="Calibri"/>
        </w:rPr>
        <w:t xml:space="preserve">The report will address a number of issues in order to </w:t>
      </w:r>
      <w:r w:rsidRPr="004B5E1C">
        <w:rPr>
          <w:rFonts w:ascii="Calibri" w:hAnsi="Calibri"/>
        </w:rPr>
        <w:t xml:space="preserve">identify </w:t>
      </w:r>
      <w:r>
        <w:rPr>
          <w:rFonts w:ascii="Calibri" w:hAnsi="Calibri"/>
        </w:rPr>
        <w:t>whether (and where) there is disparate treatment between the for-profit and non-profit sectors including: d</w:t>
      </w:r>
      <w:r w:rsidR="00FC747E">
        <w:rPr>
          <w:rFonts w:ascii="Calibri" w:hAnsi="Calibri"/>
        </w:rPr>
        <w:t xml:space="preserve">oes legislation favor one type of entity over the other, and should it do so? Is the problem one of practice, where enforcement and application of laws is uneven? Or is it an issue of perception – a generally difficult and menacing environment that discourages growth and development of either sector? </w:t>
      </w:r>
      <w:r w:rsidR="00C94AFD" w:rsidRPr="004B5E1C">
        <w:rPr>
          <w:rFonts w:ascii="Calibri" w:hAnsi="Calibri"/>
        </w:rPr>
        <w:t>The report will also examine the reasons for these disparities and analyze how they impact the right</w:t>
      </w:r>
      <w:r w:rsidR="00CE5C50">
        <w:rPr>
          <w:rFonts w:ascii="Calibri" w:hAnsi="Calibri"/>
        </w:rPr>
        <w:t>s</w:t>
      </w:r>
      <w:r w:rsidR="00C94AFD" w:rsidRPr="004B5E1C">
        <w:rPr>
          <w:rFonts w:ascii="Calibri" w:hAnsi="Calibri"/>
        </w:rPr>
        <w:t xml:space="preserve"> to freedom of </w:t>
      </w:r>
      <w:r w:rsidR="00CE5C50">
        <w:rPr>
          <w:rFonts w:ascii="Calibri" w:hAnsi="Calibri"/>
        </w:rPr>
        <w:t xml:space="preserve">peaceful assembly and of </w:t>
      </w:r>
      <w:r w:rsidR="00C94AFD" w:rsidRPr="004B5E1C">
        <w:rPr>
          <w:rFonts w:ascii="Calibri" w:hAnsi="Calibri"/>
        </w:rPr>
        <w:t xml:space="preserve">association.  </w:t>
      </w:r>
    </w:p>
    <w:p w14:paraId="077E477C" w14:textId="77777777" w:rsidR="00523710" w:rsidRDefault="00523710" w:rsidP="00A161B9">
      <w:pPr>
        <w:rPr>
          <w:rFonts w:ascii="Calibri" w:hAnsi="Calibri"/>
        </w:rPr>
      </w:pPr>
      <w:r>
        <w:rPr>
          <w:rFonts w:ascii="Calibri" w:hAnsi="Calibri"/>
        </w:rPr>
        <w:t xml:space="preserve">As part of the research process, the Special Rapporteur will solicit input from civil society, governments, multilateral organizations and businesses, asking about their respective experiences on the ground. How do regulations work in practice? Are there restrictions in practice that may not captured by looking only at the law? Do governments informally favor one sector over another? </w:t>
      </w:r>
    </w:p>
    <w:p w14:paraId="12891985" w14:textId="1E675283" w:rsidR="001839D9" w:rsidRPr="004B5E1C" w:rsidRDefault="00523710" w:rsidP="00A161B9">
      <w:pPr>
        <w:rPr>
          <w:rFonts w:ascii="Calibri" w:hAnsi="Calibri"/>
        </w:rPr>
      </w:pPr>
      <w:r>
        <w:rPr>
          <w:rFonts w:ascii="Calibri" w:hAnsi="Calibri"/>
        </w:rPr>
        <w:t xml:space="preserve">The Special Rapporteur is convening this expert consultation as part of this process for soliciting views and information on all of the above points. </w:t>
      </w:r>
      <w:r w:rsidR="00981C35" w:rsidRPr="004B5E1C">
        <w:rPr>
          <w:rFonts w:ascii="Calibri" w:hAnsi="Calibri"/>
        </w:rPr>
        <w:t>This concept note presents preliminary thoughts on the key issues for discussion</w:t>
      </w:r>
      <w:r w:rsidR="005E2844" w:rsidRPr="004B5E1C">
        <w:rPr>
          <w:rFonts w:ascii="Calibri" w:hAnsi="Calibri"/>
        </w:rPr>
        <w:t>.</w:t>
      </w:r>
      <w:r w:rsidR="00981C35" w:rsidRPr="004B5E1C">
        <w:rPr>
          <w:rFonts w:ascii="Calibri" w:hAnsi="Calibri"/>
        </w:rPr>
        <w:t xml:space="preserve"> </w:t>
      </w:r>
      <w:bookmarkStart w:id="0" w:name="_GoBack"/>
      <w:bookmarkEnd w:id="0"/>
    </w:p>
    <w:p w14:paraId="30A4C302" w14:textId="77777777" w:rsidR="00A60921" w:rsidRDefault="00A60921" w:rsidP="00A60921">
      <w:pPr>
        <w:pStyle w:val="ListParagraph"/>
        <w:numPr>
          <w:ilvl w:val="0"/>
          <w:numId w:val="2"/>
        </w:numPr>
        <w:rPr>
          <w:rFonts w:ascii="Calibri" w:hAnsi="Calibri"/>
          <w:u w:val="single"/>
        </w:rPr>
      </w:pPr>
      <w:r w:rsidRPr="004B5E1C">
        <w:rPr>
          <w:rFonts w:ascii="Calibri" w:hAnsi="Calibri"/>
          <w:u w:val="single"/>
        </w:rPr>
        <w:t>Issues for discussion</w:t>
      </w:r>
    </w:p>
    <w:p w14:paraId="3BD9E657" w14:textId="77777777" w:rsidR="00C93FA6" w:rsidRDefault="00C93FA6" w:rsidP="00C93FA6">
      <w:pPr>
        <w:rPr>
          <w:rFonts w:ascii="Calibri" w:hAnsi="Calibri"/>
          <w:u w:val="single"/>
        </w:rPr>
      </w:pPr>
    </w:p>
    <w:p w14:paraId="31665D71" w14:textId="77777777" w:rsidR="00C93FA6" w:rsidRPr="00EA08EB" w:rsidRDefault="00C93FA6" w:rsidP="0095228E">
      <w:pPr>
        <w:pStyle w:val="ListParagraph"/>
        <w:numPr>
          <w:ilvl w:val="0"/>
          <w:numId w:val="14"/>
        </w:numPr>
        <w:rPr>
          <w:rFonts w:ascii="Calibri" w:hAnsi="Calibri"/>
          <w:sz w:val="22"/>
          <w:szCs w:val="22"/>
          <w:u w:val="single"/>
        </w:rPr>
      </w:pPr>
      <w:r w:rsidRPr="00EA08EB">
        <w:rPr>
          <w:rFonts w:ascii="Calibri" w:hAnsi="Calibri"/>
          <w:sz w:val="22"/>
          <w:szCs w:val="22"/>
          <w:u w:val="single"/>
        </w:rPr>
        <w:t>Introduction &amp; framing</w:t>
      </w:r>
      <w:r w:rsidR="0095228E" w:rsidRPr="00EA08EB">
        <w:rPr>
          <w:rFonts w:ascii="Calibri" w:hAnsi="Calibri"/>
          <w:sz w:val="22"/>
          <w:szCs w:val="22"/>
          <w:u w:val="single"/>
        </w:rPr>
        <w:t xml:space="preserve"> the scope of the report</w:t>
      </w:r>
      <w:r w:rsidRPr="00EA08EB">
        <w:rPr>
          <w:rFonts w:ascii="Calibri" w:hAnsi="Calibri"/>
          <w:sz w:val="22"/>
          <w:szCs w:val="22"/>
          <w:u w:val="single"/>
        </w:rPr>
        <w:t>:</w:t>
      </w:r>
    </w:p>
    <w:p w14:paraId="3F1B769E" w14:textId="77777777" w:rsidR="0095228E" w:rsidRPr="00EA08EB" w:rsidRDefault="008E0965" w:rsidP="0095228E">
      <w:pPr>
        <w:pStyle w:val="ListParagraph"/>
        <w:numPr>
          <w:ilvl w:val="1"/>
          <w:numId w:val="14"/>
        </w:numPr>
        <w:rPr>
          <w:rFonts w:ascii="Calibri" w:hAnsi="Calibri"/>
          <w:sz w:val="22"/>
          <w:szCs w:val="22"/>
        </w:rPr>
      </w:pPr>
      <w:r w:rsidRPr="00EA08EB">
        <w:rPr>
          <w:rFonts w:ascii="Calibri" w:hAnsi="Calibri"/>
          <w:sz w:val="22"/>
          <w:szCs w:val="22"/>
        </w:rPr>
        <w:t>I</w:t>
      </w:r>
      <w:r w:rsidR="0095228E" w:rsidRPr="00EA08EB">
        <w:rPr>
          <w:rFonts w:ascii="Calibri" w:hAnsi="Calibri"/>
          <w:sz w:val="22"/>
          <w:szCs w:val="22"/>
        </w:rPr>
        <w:t xml:space="preserve">dentify the </w:t>
      </w:r>
      <w:r w:rsidR="0095228E" w:rsidRPr="00EA08EB">
        <w:rPr>
          <w:rFonts w:ascii="Calibri" w:hAnsi="Calibri"/>
          <w:b/>
          <w:sz w:val="22"/>
          <w:szCs w:val="22"/>
        </w:rPr>
        <w:t>scope of each sector</w:t>
      </w:r>
      <w:r w:rsidR="0095228E" w:rsidRPr="00EA08EB">
        <w:rPr>
          <w:rFonts w:ascii="Calibri" w:hAnsi="Calibri"/>
          <w:sz w:val="22"/>
          <w:szCs w:val="22"/>
        </w:rPr>
        <w:t xml:space="preserve"> (for-profit and non-profit) covered in the report. Businesses are not just multilateral corporations, just as CSOs are not limited to large international NGOs. </w:t>
      </w:r>
    </w:p>
    <w:p w14:paraId="1BA25894" w14:textId="77777777" w:rsidR="0095228E" w:rsidRPr="00EA08EB" w:rsidRDefault="0095228E" w:rsidP="0095228E">
      <w:pPr>
        <w:pStyle w:val="ListParagraph"/>
        <w:numPr>
          <w:ilvl w:val="2"/>
          <w:numId w:val="14"/>
        </w:numPr>
        <w:rPr>
          <w:rFonts w:ascii="Calibri" w:hAnsi="Calibri"/>
          <w:sz w:val="22"/>
          <w:szCs w:val="22"/>
        </w:rPr>
      </w:pPr>
      <w:r w:rsidRPr="00EA08EB">
        <w:rPr>
          <w:rFonts w:ascii="Calibri" w:hAnsi="Calibri"/>
          <w:sz w:val="22"/>
          <w:szCs w:val="22"/>
        </w:rPr>
        <w:t>There is clearly disparate treatment among for-profit entities, and among different types of non-profits</w:t>
      </w:r>
      <w:r w:rsidR="008E0965" w:rsidRPr="00EA08EB">
        <w:rPr>
          <w:rFonts w:ascii="Calibri" w:hAnsi="Calibri"/>
          <w:sz w:val="22"/>
          <w:szCs w:val="22"/>
        </w:rPr>
        <w:t>. What sort of examination should this receive in the report?</w:t>
      </w:r>
    </w:p>
    <w:p w14:paraId="3E2CDCB0" w14:textId="77777777" w:rsidR="008E0965" w:rsidRPr="00EA08EB" w:rsidRDefault="008E0965" w:rsidP="0095228E">
      <w:pPr>
        <w:pStyle w:val="ListParagraph"/>
        <w:numPr>
          <w:ilvl w:val="2"/>
          <w:numId w:val="14"/>
        </w:numPr>
        <w:rPr>
          <w:rFonts w:ascii="Calibri" w:hAnsi="Calibri"/>
          <w:sz w:val="22"/>
          <w:szCs w:val="22"/>
        </w:rPr>
      </w:pPr>
      <w:r w:rsidRPr="00EA08EB">
        <w:rPr>
          <w:rFonts w:ascii="Calibri" w:hAnsi="Calibri"/>
          <w:sz w:val="22"/>
          <w:szCs w:val="22"/>
        </w:rPr>
        <w:t xml:space="preserve">Where do </w:t>
      </w:r>
      <w:r w:rsidRPr="00EA08EB">
        <w:rPr>
          <w:rFonts w:ascii="Calibri" w:hAnsi="Calibri"/>
          <w:b/>
          <w:sz w:val="22"/>
          <w:szCs w:val="22"/>
        </w:rPr>
        <w:t>hybrids</w:t>
      </w:r>
      <w:r w:rsidRPr="00EA08EB">
        <w:rPr>
          <w:rFonts w:ascii="Calibri" w:hAnsi="Calibri"/>
          <w:sz w:val="22"/>
          <w:szCs w:val="22"/>
        </w:rPr>
        <w:t xml:space="preserve"> fall, such as business associations and social enterprises?</w:t>
      </w:r>
    </w:p>
    <w:p w14:paraId="5A1B2B3F" w14:textId="77777777" w:rsidR="001839D9" w:rsidRDefault="00011038" w:rsidP="0095228E">
      <w:pPr>
        <w:pStyle w:val="ListParagraph"/>
        <w:numPr>
          <w:ilvl w:val="1"/>
          <w:numId w:val="14"/>
        </w:numPr>
        <w:rPr>
          <w:rFonts w:ascii="Calibri" w:hAnsi="Calibri"/>
          <w:sz w:val="22"/>
          <w:szCs w:val="22"/>
        </w:rPr>
      </w:pPr>
      <w:r>
        <w:rPr>
          <w:rFonts w:ascii="Calibri" w:hAnsi="Calibri"/>
          <w:sz w:val="22"/>
          <w:szCs w:val="22"/>
        </w:rPr>
        <w:t xml:space="preserve">Defining the standard: </w:t>
      </w:r>
      <w:r w:rsidR="001839D9">
        <w:rPr>
          <w:rFonts w:ascii="Calibri" w:hAnsi="Calibri"/>
          <w:sz w:val="22"/>
          <w:szCs w:val="22"/>
        </w:rPr>
        <w:t xml:space="preserve">What does the </w:t>
      </w:r>
      <w:r w:rsidR="001839D9" w:rsidRPr="001839D9">
        <w:rPr>
          <w:rFonts w:ascii="Calibri" w:hAnsi="Calibri"/>
          <w:b/>
          <w:sz w:val="22"/>
          <w:szCs w:val="22"/>
        </w:rPr>
        <w:t>ideal “level playing field”</w:t>
      </w:r>
      <w:r w:rsidR="001839D9">
        <w:rPr>
          <w:rFonts w:ascii="Calibri" w:hAnsi="Calibri"/>
          <w:sz w:val="22"/>
          <w:szCs w:val="22"/>
        </w:rPr>
        <w:t xml:space="preserve"> look like? </w:t>
      </w:r>
    </w:p>
    <w:p w14:paraId="5F56EB86" w14:textId="77777777" w:rsidR="001839D9" w:rsidRDefault="001839D9" w:rsidP="001839D9">
      <w:pPr>
        <w:pStyle w:val="ListParagraph"/>
        <w:numPr>
          <w:ilvl w:val="2"/>
          <w:numId w:val="14"/>
        </w:numPr>
        <w:rPr>
          <w:rFonts w:ascii="Calibri" w:hAnsi="Calibri"/>
          <w:sz w:val="22"/>
          <w:szCs w:val="22"/>
        </w:rPr>
      </w:pPr>
      <w:r>
        <w:rPr>
          <w:rFonts w:ascii="Calibri" w:hAnsi="Calibri"/>
          <w:sz w:val="22"/>
          <w:szCs w:val="22"/>
        </w:rPr>
        <w:t xml:space="preserve">Is it fair to compare associations and businesses? </w:t>
      </w:r>
    </w:p>
    <w:p w14:paraId="24965324" w14:textId="77777777" w:rsidR="0095228E" w:rsidRDefault="0095228E" w:rsidP="001839D9">
      <w:pPr>
        <w:pStyle w:val="ListParagraph"/>
        <w:numPr>
          <w:ilvl w:val="2"/>
          <w:numId w:val="14"/>
        </w:numPr>
        <w:rPr>
          <w:rFonts w:ascii="Calibri" w:hAnsi="Calibri"/>
          <w:sz w:val="22"/>
          <w:szCs w:val="22"/>
        </w:rPr>
      </w:pPr>
      <w:r w:rsidRPr="00EA08EB">
        <w:rPr>
          <w:rFonts w:ascii="Calibri" w:hAnsi="Calibri"/>
          <w:sz w:val="22"/>
          <w:szCs w:val="22"/>
        </w:rPr>
        <w:t xml:space="preserve">Are there </w:t>
      </w:r>
      <w:r w:rsidRPr="00EA08EB">
        <w:rPr>
          <w:rFonts w:ascii="Calibri" w:hAnsi="Calibri"/>
          <w:b/>
          <w:sz w:val="22"/>
          <w:szCs w:val="22"/>
        </w:rPr>
        <w:t>legitimate areas</w:t>
      </w:r>
      <w:r w:rsidRPr="00EA08EB">
        <w:rPr>
          <w:rFonts w:ascii="Calibri" w:hAnsi="Calibri"/>
          <w:sz w:val="22"/>
          <w:szCs w:val="22"/>
        </w:rPr>
        <w:t xml:space="preserve"> where </w:t>
      </w:r>
      <w:r w:rsidR="001839D9">
        <w:rPr>
          <w:rFonts w:ascii="Calibri" w:hAnsi="Calibri"/>
          <w:sz w:val="22"/>
          <w:szCs w:val="22"/>
        </w:rPr>
        <w:t>associations</w:t>
      </w:r>
      <w:r w:rsidRPr="00EA08EB">
        <w:rPr>
          <w:rFonts w:ascii="Calibri" w:hAnsi="Calibri"/>
          <w:sz w:val="22"/>
          <w:szCs w:val="22"/>
        </w:rPr>
        <w:t xml:space="preserve"> and </w:t>
      </w:r>
      <w:r w:rsidR="001839D9">
        <w:rPr>
          <w:rFonts w:ascii="Calibri" w:hAnsi="Calibri"/>
          <w:sz w:val="22"/>
          <w:szCs w:val="22"/>
        </w:rPr>
        <w:t xml:space="preserve">businesses </w:t>
      </w:r>
      <w:r w:rsidRPr="00EA08EB">
        <w:rPr>
          <w:rFonts w:ascii="Calibri" w:hAnsi="Calibri"/>
          <w:sz w:val="22"/>
          <w:szCs w:val="22"/>
        </w:rPr>
        <w:t xml:space="preserve">should be treated differently? </w:t>
      </w:r>
      <w:r w:rsidR="001839D9">
        <w:rPr>
          <w:rFonts w:ascii="Calibri" w:hAnsi="Calibri"/>
          <w:sz w:val="22"/>
          <w:szCs w:val="22"/>
        </w:rPr>
        <w:t>Why?</w:t>
      </w:r>
    </w:p>
    <w:p w14:paraId="36004F4A" w14:textId="77777777" w:rsidR="001839D9" w:rsidRDefault="001839D9" w:rsidP="001839D9">
      <w:pPr>
        <w:pStyle w:val="ListParagraph"/>
        <w:numPr>
          <w:ilvl w:val="2"/>
          <w:numId w:val="14"/>
        </w:numPr>
        <w:rPr>
          <w:rFonts w:ascii="Calibri" w:hAnsi="Calibri"/>
          <w:sz w:val="22"/>
          <w:szCs w:val="22"/>
        </w:rPr>
      </w:pPr>
      <w:r>
        <w:rPr>
          <w:rFonts w:ascii="Calibri" w:hAnsi="Calibri"/>
          <w:sz w:val="22"/>
          <w:szCs w:val="22"/>
        </w:rPr>
        <w:t xml:space="preserve">Are there </w:t>
      </w:r>
      <w:r w:rsidRPr="001839D9">
        <w:rPr>
          <w:rFonts w:ascii="Calibri" w:hAnsi="Calibri"/>
          <w:b/>
          <w:sz w:val="22"/>
          <w:szCs w:val="22"/>
        </w:rPr>
        <w:t>illegitimate areas</w:t>
      </w:r>
      <w:r>
        <w:rPr>
          <w:rFonts w:ascii="Calibri" w:hAnsi="Calibri"/>
          <w:sz w:val="22"/>
          <w:szCs w:val="22"/>
        </w:rPr>
        <w:t xml:space="preserve"> where associations</w:t>
      </w:r>
      <w:r w:rsidRPr="00EA08EB">
        <w:rPr>
          <w:rFonts w:ascii="Calibri" w:hAnsi="Calibri"/>
          <w:sz w:val="22"/>
          <w:szCs w:val="22"/>
        </w:rPr>
        <w:t xml:space="preserve"> and </w:t>
      </w:r>
      <w:r>
        <w:rPr>
          <w:rFonts w:ascii="Calibri" w:hAnsi="Calibri"/>
          <w:sz w:val="22"/>
          <w:szCs w:val="22"/>
        </w:rPr>
        <w:t xml:space="preserve">businesses </w:t>
      </w:r>
      <w:r w:rsidRPr="00EA08EB">
        <w:rPr>
          <w:rFonts w:ascii="Calibri" w:hAnsi="Calibri"/>
          <w:sz w:val="22"/>
          <w:szCs w:val="22"/>
        </w:rPr>
        <w:t>should be treated differently?</w:t>
      </w:r>
      <w:r>
        <w:rPr>
          <w:rFonts w:ascii="Calibri" w:hAnsi="Calibri"/>
          <w:sz w:val="22"/>
          <w:szCs w:val="22"/>
        </w:rPr>
        <w:t xml:space="preserve"> Why are the differences not justifiable?</w:t>
      </w:r>
    </w:p>
    <w:p w14:paraId="44EEA119" w14:textId="77777777" w:rsidR="001839D9" w:rsidRPr="001839D9" w:rsidRDefault="001839D9" w:rsidP="001839D9">
      <w:pPr>
        <w:pStyle w:val="ListParagraph"/>
        <w:numPr>
          <w:ilvl w:val="1"/>
          <w:numId w:val="14"/>
        </w:numPr>
        <w:rPr>
          <w:rFonts w:ascii="Calibri" w:hAnsi="Calibri"/>
          <w:sz w:val="22"/>
          <w:szCs w:val="22"/>
        </w:rPr>
      </w:pPr>
      <w:r w:rsidRPr="00EA08EB">
        <w:rPr>
          <w:rFonts w:ascii="Calibri" w:hAnsi="Calibri"/>
          <w:sz w:val="22"/>
          <w:szCs w:val="22"/>
        </w:rPr>
        <w:t>What does the ideal “level playing field” look like and how do we get there?</w:t>
      </w:r>
    </w:p>
    <w:p w14:paraId="11A72669" w14:textId="77777777" w:rsidR="0095228E" w:rsidRPr="00EA08EB" w:rsidRDefault="0095228E" w:rsidP="0095228E">
      <w:pPr>
        <w:pStyle w:val="ListParagraph"/>
        <w:numPr>
          <w:ilvl w:val="1"/>
          <w:numId w:val="14"/>
        </w:numPr>
        <w:rPr>
          <w:rFonts w:ascii="Calibri" w:hAnsi="Calibri"/>
          <w:sz w:val="22"/>
          <w:szCs w:val="22"/>
        </w:rPr>
      </w:pPr>
      <w:r w:rsidRPr="00EA08EB">
        <w:rPr>
          <w:rFonts w:ascii="Calibri" w:hAnsi="Calibri"/>
          <w:sz w:val="22"/>
          <w:szCs w:val="22"/>
        </w:rPr>
        <w:t xml:space="preserve">Understanding the role of the </w:t>
      </w:r>
      <w:r w:rsidRPr="00EA08EB">
        <w:rPr>
          <w:rFonts w:ascii="Calibri" w:hAnsi="Calibri"/>
          <w:b/>
          <w:sz w:val="22"/>
          <w:szCs w:val="22"/>
        </w:rPr>
        <w:t>rights to freedom of peaceful assembly and of association</w:t>
      </w:r>
      <w:r w:rsidRPr="00EA08EB">
        <w:rPr>
          <w:rFonts w:ascii="Calibri" w:hAnsi="Calibri"/>
          <w:sz w:val="22"/>
          <w:szCs w:val="22"/>
        </w:rPr>
        <w:t xml:space="preserve"> (FOAA) for each sector. Do they apply equally? Does the purpose of the entity make a difference in applying FOAA rights? Should it?</w:t>
      </w:r>
    </w:p>
    <w:p w14:paraId="547933F4" w14:textId="77777777" w:rsidR="008E0965" w:rsidRPr="00EA08EB" w:rsidRDefault="008E0965" w:rsidP="0095228E">
      <w:pPr>
        <w:pStyle w:val="ListParagraph"/>
        <w:numPr>
          <w:ilvl w:val="1"/>
          <w:numId w:val="14"/>
        </w:numPr>
        <w:rPr>
          <w:rFonts w:ascii="Calibri" w:hAnsi="Calibri"/>
          <w:sz w:val="22"/>
          <w:szCs w:val="22"/>
        </w:rPr>
      </w:pPr>
      <w:r w:rsidRPr="00EA08EB">
        <w:rPr>
          <w:rFonts w:ascii="Calibri" w:hAnsi="Calibri"/>
          <w:b/>
          <w:sz w:val="22"/>
          <w:szCs w:val="22"/>
        </w:rPr>
        <w:t>Other key players</w:t>
      </w:r>
      <w:r w:rsidRPr="00EA08EB">
        <w:rPr>
          <w:rFonts w:ascii="Calibri" w:hAnsi="Calibri"/>
          <w:sz w:val="22"/>
          <w:szCs w:val="22"/>
        </w:rPr>
        <w:t xml:space="preserve"> and their roles and responsibilities: Governments, multila</w:t>
      </w:r>
      <w:r w:rsidR="00836995" w:rsidRPr="00EA08EB">
        <w:rPr>
          <w:rFonts w:ascii="Calibri" w:hAnsi="Calibri"/>
          <w:sz w:val="22"/>
          <w:szCs w:val="22"/>
        </w:rPr>
        <w:t xml:space="preserve">teral organizations and </w:t>
      </w:r>
      <w:r w:rsidRPr="00EA08EB">
        <w:rPr>
          <w:rFonts w:ascii="Calibri" w:hAnsi="Calibri"/>
          <w:sz w:val="22"/>
          <w:szCs w:val="22"/>
        </w:rPr>
        <w:t>donors (government and private)</w:t>
      </w:r>
      <w:r w:rsidR="00836995" w:rsidRPr="00EA08EB">
        <w:rPr>
          <w:rFonts w:ascii="Calibri" w:hAnsi="Calibri"/>
          <w:sz w:val="22"/>
          <w:szCs w:val="22"/>
        </w:rPr>
        <w:t>.</w:t>
      </w:r>
    </w:p>
    <w:p w14:paraId="48CAFF1E" w14:textId="77777777" w:rsidR="00836995" w:rsidRPr="00EA08EB" w:rsidRDefault="00836995" w:rsidP="00836995">
      <w:pPr>
        <w:pStyle w:val="ListParagraph"/>
        <w:rPr>
          <w:rFonts w:ascii="Calibri" w:hAnsi="Calibri"/>
          <w:sz w:val="22"/>
          <w:szCs w:val="22"/>
        </w:rPr>
      </w:pPr>
    </w:p>
    <w:p w14:paraId="2EA9F5D2" w14:textId="77777777" w:rsidR="00836995" w:rsidRPr="00EA08EB" w:rsidRDefault="00836995" w:rsidP="00836995">
      <w:pPr>
        <w:pStyle w:val="ListParagraph"/>
        <w:numPr>
          <w:ilvl w:val="0"/>
          <w:numId w:val="14"/>
        </w:numPr>
        <w:rPr>
          <w:rFonts w:ascii="Calibri" w:hAnsi="Calibri"/>
          <w:sz w:val="22"/>
          <w:szCs w:val="22"/>
        </w:rPr>
      </w:pPr>
      <w:r w:rsidRPr="00EA08EB">
        <w:rPr>
          <w:rFonts w:ascii="Calibri" w:hAnsi="Calibri"/>
          <w:sz w:val="22"/>
          <w:szCs w:val="22"/>
          <w:u w:val="single"/>
        </w:rPr>
        <w:t>Specific thematic areas to compare</w:t>
      </w:r>
      <w:r w:rsidR="00505D21" w:rsidRPr="00EA08EB">
        <w:rPr>
          <w:rFonts w:ascii="Calibri" w:hAnsi="Calibri"/>
          <w:sz w:val="22"/>
          <w:szCs w:val="22"/>
          <w:u w:val="single"/>
        </w:rPr>
        <w:t>, in law, practice and perception</w:t>
      </w:r>
      <w:r w:rsidRPr="00EA08EB">
        <w:rPr>
          <w:rFonts w:ascii="Calibri" w:hAnsi="Calibri"/>
          <w:sz w:val="22"/>
          <w:szCs w:val="22"/>
        </w:rPr>
        <w:t>:</w:t>
      </w:r>
    </w:p>
    <w:p w14:paraId="49483D8C" w14:textId="77777777" w:rsidR="004B5E1C" w:rsidRPr="00EA08EB" w:rsidRDefault="00836995" w:rsidP="00836995">
      <w:pPr>
        <w:pStyle w:val="ListParagraph"/>
        <w:numPr>
          <w:ilvl w:val="1"/>
          <w:numId w:val="12"/>
        </w:numPr>
        <w:rPr>
          <w:rFonts w:ascii="Calibri" w:hAnsi="Calibri"/>
          <w:sz w:val="22"/>
          <w:szCs w:val="22"/>
        </w:rPr>
      </w:pPr>
      <w:r w:rsidRPr="00EA08EB">
        <w:rPr>
          <w:rFonts w:ascii="Calibri" w:hAnsi="Calibri"/>
          <w:b/>
          <w:sz w:val="22"/>
          <w:szCs w:val="22"/>
        </w:rPr>
        <w:lastRenderedPageBreak/>
        <w:t>Ease of entry</w:t>
      </w:r>
      <w:r w:rsidRPr="00EA08EB">
        <w:rPr>
          <w:rFonts w:ascii="Calibri" w:hAnsi="Calibri"/>
          <w:sz w:val="22"/>
          <w:szCs w:val="22"/>
        </w:rPr>
        <w:t xml:space="preserve">: </w:t>
      </w:r>
      <w:r w:rsidR="004B5E1C" w:rsidRPr="00EA08EB">
        <w:rPr>
          <w:rFonts w:ascii="Calibri" w:hAnsi="Calibri"/>
          <w:sz w:val="22"/>
          <w:szCs w:val="22"/>
        </w:rPr>
        <w:t>Registration/Incorporation laws</w:t>
      </w:r>
      <w:r w:rsidRPr="00EA08EB">
        <w:rPr>
          <w:rFonts w:ascii="Calibri" w:hAnsi="Calibri"/>
          <w:sz w:val="22"/>
          <w:szCs w:val="22"/>
        </w:rPr>
        <w:t xml:space="preserve">; timeframe to get </w:t>
      </w:r>
      <w:r w:rsidR="004B5E1C" w:rsidRPr="00EA08EB">
        <w:rPr>
          <w:rFonts w:ascii="Calibri" w:hAnsi="Calibri"/>
          <w:sz w:val="22"/>
          <w:szCs w:val="22"/>
        </w:rPr>
        <w:t>registration/incorporation</w:t>
      </w:r>
      <w:r w:rsidRPr="00EA08EB">
        <w:rPr>
          <w:rFonts w:ascii="Calibri" w:hAnsi="Calibri"/>
          <w:sz w:val="22"/>
          <w:szCs w:val="22"/>
        </w:rPr>
        <w:t xml:space="preserve">; minimum requirements to form; criminalization of </w:t>
      </w:r>
      <w:r w:rsidR="004B5E1C" w:rsidRPr="00EA08EB">
        <w:rPr>
          <w:rFonts w:ascii="Calibri" w:hAnsi="Calibri"/>
          <w:sz w:val="22"/>
          <w:szCs w:val="22"/>
        </w:rPr>
        <w:t>unregistered activities</w:t>
      </w:r>
      <w:r w:rsidRPr="00EA08EB">
        <w:rPr>
          <w:rFonts w:ascii="Calibri" w:hAnsi="Calibri"/>
          <w:sz w:val="22"/>
          <w:szCs w:val="22"/>
        </w:rPr>
        <w:t>; c</w:t>
      </w:r>
      <w:r w:rsidR="004B5E1C" w:rsidRPr="00EA08EB">
        <w:rPr>
          <w:rFonts w:ascii="Calibri" w:hAnsi="Calibri"/>
          <w:sz w:val="22"/>
          <w:szCs w:val="22"/>
        </w:rPr>
        <w:t xml:space="preserve">auses of deregistration </w:t>
      </w:r>
    </w:p>
    <w:p w14:paraId="736E0FE7" w14:textId="77777777" w:rsidR="007D1817" w:rsidRPr="00EA08EB" w:rsidRDefault="004B5E1C" w:rsidP="007D1817">
      <w:pPr>
        <w:pStyle w:val="ListParagraph"/>
        <w:numPr>
          <w:ilvl w:val="1"/>
          <w:numId w:val="12"/>
        </w:numPr>
        <w:rPr>
          <w:rFonts w:ascii="Calibri" w:hAnsi="Calibri"/>
          <w:sz w:val="22"/>
          <w:szCs w:val="22"/>
        </w:rPr>
      </w:pPr>
      <w:r w:rsidRPr="00EA08EB">
        <w:rPr>
          <w:rFonts w:ascii="Calibri" w:hAnsi="Calibri"/>
          <w:b/>
          <w:sz w:val="22"/>
          <w:szCs w:val="22"/>
        </w:rPr>
        <w:t>Ba</w:t>
      </w:r>
      <w:r w:rsidR="00836995" w:rsidRPr="00EA08EB">
        <w:rPr>
          <w:rFonts w:ascii="Calibri" w:hAnsi="Calibri"/>
          <w:b/>
          <w:sz w:val="22"/>
          <w:szCs w:val="22"/>
        </w:rPr>
        <w:t>rriers to conducting activities</w:t>
      </w:r>
      <w:r w:rsidR="00836995" w:rsidRPr="00EA08EB">
        <w:rPr>
          <w:rFonts w:ascii="Calibri" w:hAnsi="Calibri"/>
          <w:sz w:val="22"/>
          <w:szCs w:val="22"/>
        </w:rPr>
        <w:t xml:space="preserve">: </w:t>
      </w:r>
      <w:r w:rsidRPr="00EA08EB">
        <w:rPr>
          <w:rFonts w:ascii="Calibri" w:hAnsi="Calibri"/>
          <w:sz w:val="22"/>
          <w:szCs w:val="22"/>
        </w:rPr>
        <w:t xml:space="preserve">Specific laws targeting CSOs and/or businesses for </w:t>
      </w:r>
      <w:r w:rsidR="007D1817" w:rsidRPr="00EA08EB">
        <w:rPr>
          <w:rFonts w:ascii="Calibri" w:hAnsi="Calibri"/>
          <w:sz w:val="22"/>
          <w:szCs w:val="22"/>
        </w:rPr>
        <w:t xml:space="preserve">(e.g., for </w:t>
      </w:r>
      <w:r w:rsidRPr="00EA08EB">
        <w:rPr>
          <w:rFonts w:ascii="Calibri" w:hAnsi="Calibri"/>
          <w:sz w:val="22"/>
          <w:szCs w:val="22"/>
        </w:rPr>
        <w:t>mo</w:t>
      </w:r>
      <w:r w:rsidR="007D1817" w:rsidRPr="00EA08EB">
        <w:rPr>
          <w:rFonts w:ascii="Calibri" w:hAnsi="Calibri"/>
          <w:sz w:val="22"/>
          <w:szCs w:val="22"/>
        </w:rPr>
        <w:t>ney laundering, terrorism, etc.); a</w:t>
      </w:r>
      <w:r w:rsidRPr="00EA08EB">
        <w:rPr>
          <w:rFonts w:ascii="Calibri" w:hAnsi="Calibri"/>
          <w:sz w:val="22"/>
          <w:szCs w:val="22"/>
        </w:rPr>
        <w:t>udit and oversight requirements</w:t>
      </w:r>
      <w:r w:rsidR="007D1817" w:rsidRPr="00EA08EB">
        <w:rPr>
          <w:rFonts w:ascii="Calibri" w:hAnsi="Calibri"/>
          <w:sz w:val="22"/>
          <w:szCs w:val="22"/>
        </w:rPr>
        <w:t>; l</w:t>
      </w:r>
      <w:r w:rsidRPr="00EA08EB">
        <w:rPr>
          <w:rFonts w:ascii="Calibri" w:hAnsi="Calibri"/>
          <w:sz w:val="22"/>
          <w:szCs w:val="22"/>
        </w:rPr>
        <w:t>imits on freedom and independence</w:t>
      </w:r>
      <w:r w:rsidR="007D1817" w:rsidRPr="00EA08EB">
        <w:rPr>
          <w:rFonts w:ascii="Calibri" w:hAnsi="Calibri"/>
          <w:sz w:val="22"/>
          <w:szCs w:val="22"/>
        </w:rPr>
        <w:t>; h</w:t>
      </w:r>
      <w:r w:rsidRPr="00EA08EB">
        <w:rPr>
          <w:rFonts w:ascii="Calibri" w:hAnsi="Calibri"/>
          <w:sz w:val="22"/>
          <w:szCs w:val="22"/>
        </w:rPr>
        <w:t>arassment and reprisals</w:t>
      </w:r>
      <w:r w:rsidR="007D1817" w:rsidRPr="00EA08EB">
        <w:rPr>
          <w:rFonts w:ascii="Calibri" w:hAnsi="Calibri"/>
          <w:sz w:val="22"/>
          <w:szCs w:val="22"/>
        </w:rPr>
        <w:t xml:space="preserve">; </w:t>
      </w:r>
      <w:r w:rsidRPr="00EA08EB">
        <w:rPr>
          <w:rFonts w:ascii="Calibri" w:hAnsi="Calibri"/>
          <w:sz w:val="22"/>
          <w:szCs w:val="22"/>
        </w:rPr>
        <w:t xml:space="preserve">limits/regulation on type or location of work </w:t>
      </w:r>
      <w:r w:rsidR="007D1817" w:rsidRPr="00EA08EB">
        <w:rPr>
          <w:rFonts w:ascii="Calibri" w:hAnsi="Calibri"/>
          <w:sz w:val="22"/>
          <w:szCs w:val="22"/>
        </w:rPr>
        <w:t xml:space="preserve">(including disparate treatment within each sector); </w:t>
      </w:r>
    </w:p>
    <w:p w14:paraId="60650E45" w14:textId="77777777" w:rsidR="007D1817" w:rsidRPr="00EA08EB" w:rsidRDefault="007D1817" w:rsidP="007D1817">
      <w:pPr>
        <w:pStyle w:val="ListParagraph"/>
        <w:numPr>
          <w:ilvl w:val="1"/>
          <w:numId w:val="12"/>
        </w:numPr>
        <w:rPr>
          <w:rFonts w:ascii="Calibri" w:hAnsi="Calibri"/>
          <w:sz w:val="22"/>
          <w:szCs w:val="22"/>
        </w:rPr>
      </w:pPr>
      <w:r w:rsidRPr="00EA08EB">
        <w:rPr>
          <w:rFonts w:ascii="Calibri" w:hAnsi="Calibri"/>
          <w:b/>
          <w:sz w:val="22"/>
          <w:szCs w:val="22"/>
        </w:rPr>
        <w:t>A</w:t>
      </w:r>
      <w:r w:rsidR="004B5E1C" w:rsidRPr="00EA08EB">
        <w:rPr>
          <w:rFonts w:ascii="Calibri" w:hAnsi="Calibri"/>
          <w:b/>
          <w:sz w:val="22"/>
          <w:szCs w:val="22"/>
        </w:rPr>
        <w:t>bility to solicit, receive and utilize resources</w:t>
      </w:r>
      <w:r w:rsidRPr="00EA08EB">
        <w:rPr>
          <w:rFonts w:ascii="Calibri" w:hAnsi="Calibri"/>
          <w:sz w:val="22"/>
          <w:szCs w:val="22"/>
        </w:rPr>
        <w:t xml:space="preserve">: </w:t>
      </w:r>
      <w:r w:rsidR="004B5E1C" w:rsidRPr="00EA08EB">
        <w:rPr>
          <w:rFonts w:ascii="Calibri" w:hAnsi="Calibri"/>
          <w:sz w:val="22"/>
          <w:szCs w:val="22"/>
        </w:rPr>
        <w:t>Tax laws</w:t>
      </w:r>
      <w:r w:rsidRPr="00EA08EB">
        <w:rPr>
          <w:rFonts w:ascii="Calibri" w:hAnsi="Calibri"/>
          <w:sz w:val="22"/>
          <w:szCs w:val="22"/>
        </w:rPr>
        <w:t>; restrictions on “foreign funding” vs. “foreign investment”; r</w:t>
      </w:r>
      <w:r w:rsidR="004B5E1C" w:rsidRPr="00EA08EB">
        <w:rPr>
          <w:rFonts w:ascii="Calibri" w:hAnsi="Calibri"/>
          <w:sz w:val="22"/>
          <w:szCs w:val="22"/>
        </w:rPr>
        <w:t xml:space="preserve">estrictions on “domestic donations” </w:t>
      </w:r>
      <w:r w:rsidRPr="00EA08EB">
        <w:rPr>
          <w:rFonts w:ascii="Calibri" w:hAnsi="Calibri"/>
          <w:sz w:val="22"/>
          <w:szCs w:val="22"/>
        </w:rPr>
        <w:t xml:space="preserve">vs. “domestic investment”; </w:t>
      </w:r>
    </w:p>
    <w:p w14:paraId="1FE168ED" w14:textId="77777777" w:rsidR="004B5E1C" w:rsidRPr="00EA08EB" w:rsidRDefault="007D1817" w:rsidP="007D1817">
      <w:pPr>
        <w:pStyle w:val="ListParagraph"/>
        <w:numPr>
          <w:ilvl w:val="2"/>
          <w:numId w:val="12"/>
        </w:numPr>
        <w:rPr>
          <w:rFonts w:ascii="Calibri" w:hAnsi="Calibri"/>
          <w:sz w:val="22"/>
          <w:szCs w:val="22"/>
        </w:rPr>
      </w:pPr>
      <w:r w:rsidRPr="00EA08EB">
        <w:rPr>
          <w:rFonts w:ascii="Calibri" w:hAnsi="Calibri"/>
          <w:sz w:val="22"/>
          <w:szCs w:val="22"/>
        </w:rPr>
        <w:t>Also</w:t>
      </w:r>
      <w:r w:rsidR="00857880" w:rsidRPr="00EA08EB">
        <w:rPr>
          <w:rFonts w:ascii="Calibri" w:hAnsi="Calibri"/>
          <w:sz w:val="22"/>
          <w:szCs w:val="22"/>
        </w:rPr>
        <w:t>, how do</w:t>
      </w:r>
      <w:r w:rsidRPr="00EA08EB">
        <w:rPr>
          <w:rFonts w:ascii="Calibri" w:hAnsi="Calibri"/>
          <w:sz w:val="22"/>
          <w:szCs w:val="22"/>
        </w:rPr>
        <w:t xml:space="preserve"> the p</w:t>
      </w:r>
      <w:r w:rsidR="004B5E1C" w:rsidRPr="00EA08EB">
        <w:rPr>
          <w:rFonts w:ascii="Calibri" w:hAnsi="Calibri"/>
          <w:sz w:val="22"/>
          <w:szCs w:val="22"/>
        </w:rPr>
        <w:t>olicies of foreign donors encourage or discour</w:t>
      </w:r>
      <w:r w:rsidR="00857880" w:rsidRPr="00EA08EB">
        <w:rPr>
          <w:rFonts w:ascii="Calibri" w:hAnsi="Calibri"/>
          <w:sz w:val="22"/>
          <w:szCs w:val="22"/>
        </w:rPr>
        <w:t>age discrimination against CSOs?</w:t>
      </w:r>
      <w:r w:rsidR="004B5E1C" w:rsidRPr="00EA08EB">
        <w:rPr>
          <w:rFonts w:ascii="Calibri" w:hAnsi="Calibri"/>
          <w:sz w:val="22"/>
          <w:szCs w:val="22"/>
        </w:rPr>
        <w:t xml:space="preserve"> Do some make it easier for businesses to receive aid than CSOs? </w:t>
      </w:r>
    </w:p>
    <w:p w14:paraId="2583093E" w14:textId="77777777" w:rsidR="004B5E1C" w:rsidRPr="00EA08EB" w:rsidRDefault="004B5E1C" w:rsidP="0091169E">
      <w:pPr>
        <w:pStyle w:val="ListParagraph"/>
        <w:numPr>
          <w:ilvl w:val="1"/>
          <w:numId w:val="12"/>
        </w:numPr>
        <w:rPr>
          <w:rFonts w:ascii="Calibri" w:hAnsi="Calibri"/>
          <w:sz w:val="22"/>
          <w:szCs w:val="22"/>
        </w:rPr>
      </w:pPr>
      <w:r w:rsidRPr="00EA08EB">
        <w:rPr>
          <w:rFonts w:ascii="Calibri" w:hAnsi="Calibri"/>
          <w:b/>
          <w:sz w:val="22"/>
          <w:szCs w:val="22"/>
        </w:rPr>
        <w:t>Barriers to and eas</w:t>
      </w:r>
      <w:r w:rsidR="0091169E" w:rsidRPr="00EA08EB">
        <w:rPr>
          <w:rFonts w:ascii="Calibri" w:hAnsi="Calibri"/>
          <w:b/>
          <w:sz w:val="22"/>
          <w:szCs w:val="22"/>
        </w:rPr>
        <w:t>e of exercising assembly rights</w:t>
      </w:r>
      <w:r w:rsidR="0091169E" w:rsidRPr="00EA08EB">
        <w:rPr>
          <w:rFonts w:ascii="Calibri" w:hAnsi="Calibri"/>
          <w:sz w:val="22"/>
          <w:szCs w:val="22"/>
        </w:rPr>
        <w:t>: R</w:t>
      </w:r>
      <w:r w:rsidRPr="00EA08EB">
        <w:rPr>
          <w:rFonts w:ascii="Calibri" w:hAnsi="Calibri"/>
          <w:sz w:val="22"/>
          <w:szCs w:val="22"/>
        </w:rPr>
        <w:t xml:space="preserve">elative ease </w:t>
      </w:r>
      <w:r w:rsidR="0091169E" w:rsidRPr="00EA08EB">
        <w:rPr>
          <w:rFonts w:ascii="Calibri" w:hAnsi="Calibri"/>
          <w:sz w:val="22"/>
          <w:szCs w:val="22"/>
        </w:rPr>
        <w:t xml:space="preserve">of holding </w:t>
      </w:r>
      <w:r w:rsidRPr="00EA08EB">
        <w:rPr>
          <w:rFonts w:ascii="Calibri" w:hAnsi="Calibri"/>
          <w:sz w:val="22"/>
          <w:szCs w:val="22"/>
        </w:rPr>
        <w:t>public events vs. rallies</w:t>
      </w:r>
      <w:r w:rsidR="0091169E" w:rsidRPr="00EA08EB">
        <w:rPr>
          <w:rFonts w:ascii="Calibri" w:hAnsi="Calibri"/>
          <w:sz w:val="22"/>
          <w:szCs w:val="22"/>
        </w:rPr>
        <w:t>/protests; cooperation or opposition from authorities during such events; permits</w:t>
      </w:r>
      <w:r w:rsidR="00A70E24" w:rsidRPr="00EA08EB">
        <w:rPr>
          <w:rFonts w:ascii="Calibri" w:hAnsi="Calibri"/>
          <w:sz w:val="22"/>
          <w:szCs w:val="22"/>
        </w:rPr>
        <w:t>/notification requirements</w:t>
      </w:r>
    </w:p>
    <w:p w14:paraId="2F064B64" w14:textId="77777777" w:rsidR="004B5E1C" w:rsidRPr="00EA08EB" w:rsidRDefault="004B5E1C" w:rsidP="0091169E">
      <w:pPr>
        <w:pStyle w:val="ListParagraph"/>
        <w:numPr>
          <w:ilvl w:val="1"/>
          <w:numId w:val="12"/>
        </w:numPr>
        <w:rPr>
          <w:rFonts w:ascii="Calibri" w:hAnsi="Calibri"/>
          <w:sz w:val="22"/>
          <w:szCs w:val="22"/>
        </w:rPr>
      </w:pPr>
      <w:r w:rsidRPr="00EA08EB">
        <w:rPr>
          <w:rFonts w:ascii="Calibri" w:hAnsi="Calibri"/>
          <w:b/>
          <w:sz w:val="22"/>
          <w:szCs w:val="22"/>
        </w:rPr>
        <w:t>Access to and influence with power, both domestically and internationally</w:t>
      </w:r>
      <w:r w:rsidR="0091169E" w:rsidRPr="00EA08EB">
        <w:rPr>
          <w:rFonts w:ascii="Calibri" w:hAnsi="Calibri"/>
          <w:sz w:val="22"/>
          <w:szCs w:val="22"/>
        </w:rPr>
        <w:t xml:space="preserve">: Regulatory ministry; exchange of personnel between the sector and that ministry; input into </w:t>
      </w:r>
      <w:r w:rsidRPr="00EA08EB">
        <w:rPr>
          <w:rFonts w:ascii="Calibri" w:hAnsi="Calibri"/>
          <w:sz w:val="22"/>
          <w:szCs w:val="22"/>
        </w:rPr>
        <w:t>legislation</w:t>
      </w:r>
      <w:r w:rsidR="0091169E" w:rsidRPr="00EA08EB">
        <w:rPr>
          <w:rFonts w:ascii="Calibri" w:hAnsi="Calibri"/>
          <w:sz w:val="22"/>
          <w:szCs w:val="22"/>
        </w:rPr>
        <w:t xml:space="preserve"> and policymaking; f</w:t>
      </w:r>
      <w:r w:rsidRPr="00EA08EB">
        <w:rPr>
          <w:rFonts w:ascii="Calibri" w:hAnsi="Calibri"/>
          <w:sz w:val="22"/>
          <w:szCs w:val="22"/>
        </w:rPr>
        <w:t>ormal and informa</w:t>
      </w:r>
      <w:r w:rsidR="0091169E" w:rsidRPr="00EA08EB">
        <w:rPr>
          <w:rFonts w:ascii="Calibri" w:hAnsi="Calibri"/>
          <w:sz w:val="22"/>
          <w:szCs w:val="22"/>
        </w:rPr>
        <w:t>l working groups/alliances/etc.; g</w:t>
      </w:r>
      <w:r w:rsidRPr="00EA08EB">
        <w:rPr>
          <w:rFonts w:ascii="Calibri" w:hAnsi="Calibri"/>
          <w:sz w:val="22"/>
          <w:szCs w:val="22"/>
        </w:rPr>
        <w:t xml:space="preserve">overnment </w:t>
      </w:r>
      <w:r w:rsidR="0091169E" w:rsidRPr="00EA08EB">
        <w:rPr>
          <w:rFonts w:ascii="Calibri" w:hAnsi="Calibri"/>
          <w:sz w:val="22"/>
          <w:szCs w:val="22"/>
        </w:rPr>
        <w:t xml:space="preserve">measures </w:t>
      </w:r>
      <w:r w:rsidRPr="00EA08EB">
        <w:rPr>
          <w:rFonts w:ascii="Calibri" w:hAnsi="Calibri"/>
          <w:sz w:val="22"/>
          <w:szCs w:val="22"/>
        </w:rPr>
        <w:t xml:space="preserve">to support </w:t>
      </w:r>
      <w:r w:rsidR="0091169E" w:rsidRPr="00EA08EB">
        <w:rPr>
          <w:rFonts w:ascii="Calibri" w:hAnsi="Calibri"/>
          <w:sz w:val="22"/>
          <w:szCs w:val="22"/>
        </w:rPr>
        <w:t>each sector; r</w:t>
      </w:r>
      <w:r w:rsidRPr="00EA08EB">
        <w:rPr>
          <w:rFonts w:ascii="Calibri" w:hAnsi="Calibri"/>
          <w:sz w:val="22"/>
          <w:szCs w:val="22"/>
        </w:rPr>
        <w:t>ules for political contributions and lobbying (e.g., UK lobbying bill)</w:t>
      </w:r>
      <w:r w:rsidR="0091169E" w:rsidRPr="00EA08EB">
        <w:rPr>
          <w:rFonts w:ascii="Calibri" w:hAnsi="Calibri"/>
          <w:sz w:val="22"/>
          <w:szCs w:val="22"/>
        </w:rPr>
        <w:t>; multilaterals’ access policies</w:t>
      </w:r>
    </w:p>
    <w:p w14:paraId="1F871A31" w14:textId="77777777" w:rsidR="00505D21" w:rsidRPr="00EA08EB" w:rsidRDefault="00505D21" w:rsidP="00505D21">
      <w:pPr>
        <w:pStyle w:val="ListParagraph"/>
        <w:ind w:left="1440"/>
        <w:rPr>
          <w:rFonts w:ascii="Calibri" w:hAnsi="Calibri"/>
          <w:sz w:val="22"/>
          <w:szCs w:val="22"/>
        </w:rPr>
      </w:pPr>
    </w:p>
    <w:p w14:paraId="1D047BA1" w14:textId="77777777" w:rsidR="00505D21" w:rsidRPr="00EA08EB" w:rsidRDefault="00505D21" w:rsidP="00505D21">
      <w:pPr>
        <w:pStyle w:val="ListParagraph"/>
        <w:numPr>
          <w:ilvl w:val="0"/>
          <w:numId w:val="12"/>
        </w:numPr>
        <w:rPr>
          <w:rFonts w:ascii="Calibri" w:hAnsi="Calibri"/>
          <w:sz w:val="22"/>
          <w:szCs w:val="22"/>
          <w:u w:val="single"/>
        </w:rPr>
      </w:pPr>
      <w:r w:rsidRPr="00EA08EB">
        <w:rPr>
          <w:rFonts w:ascii="Calibri" w:hAnsi="Calibri"/>
          <w:sz w:val="22"/>
          <w:szCs w:val="22"/>
          <w:u w:val="single"/>
        </w:rPr>
        <w:t>Analysis: Why are there differences in treatment?</w:t>
      </w:r>
    </w:p>
    <w:p w14:paraId="5007A14F" w14:textId="77777777" w:rsidR="0050428D" w:rsidRPr="00EA08EB" w:rsidRDefault="00505D21" w:rsidP="00505D21">
      <w:pPr>
        <w:pStyle w:val="ListParagraph"/>
        <w:numPr>
          <w:ilvl w:val="1"/>
          <w:numId w:val="12"/>
        </w:numPr>
        <w:rPr>
          <w:rFonts w:ascii="Calibri" w:hAnsi="Calibri"/>
          <w:sz w:val="22"/>
          <w:szCs w:val="22"/>
        </w:rPr>
      </w:pPr>
      <w:r w:rsidRPr="00EA08EB">
        <w:rPr>
          <w:rFonts w:ascii="Calibri" w:hAnsi="Calibri"/>
          <w:sz w:val="22"/>
          <w:szCs w:val="22"/>
        </w:rPr>
        <w:t>Theories for disparate treatment</w:t>
      </w:r>
      <w:r w:rsidR="0050428D" w:rsidRPr="00EA08EB">
        <w:rPr>
          <w:rFonts w:ascii="Calibri" w:hAnsi="Calibri"/>
          <w:sz w:val="22"/>
          <w:szCs w:val="22"/>
        </w:rPr>
        <w:t>, focusing on differences that are perceived as not justifiable, between:</w:t>
      </w:r>
    </w:p>
    <w:p w14:paraId="4FC43B06" w14:textId="77777777" w:rsidR="00505D21" w:rsidRPr="00EA08EB" w:rsidRDefault="0050428D" w:rsidP="0050428D">
      <w:pPr>
        <w:pStyle w:val="ListParagraph"/>
        <w:numPr>
          <w:ilvl w:val="2"/>
          <w:numId w:val="12"/>
        </w:numPr>
        <w:rPr>
          <w:rFonts w:ascii="Calibri" w:hAnsi="Calibri"/>
          <w:sz w:val="22"/>
          <w:szCs w:val="22"/>
        </w:rPr>
      </w:pPr>
      <w:r w:rsidRPr="00EA08EB">
        <w:rPr>
          <w:rFonts w:ascii="Calibri" w:hAnsi="Calibri"/>
          <w:sz w:val="22"/>
          <w:szCs w:val="22"/>
        </w:rPr>
        <w:t>F</w:t>
      </w:r>
      <w:r w:rsidR="00505D21" w:rsidRPr="00EA08EB">
        <w:rPr>
          <w:rFonts w:ascii="Calibri" w:hAnsi="Calibri"/>
          <w:sz w:val="22"/>
          <w:szCs w:val="22"/>
        </w:rPr>
        <w:t xml:space="preserve">or-profit and non-profit </w:t>
      </w:r>
      <w:r w:rsidRPr="00EA08EB">
        <w:rPr>
          <w:rFonts w:ascii="Calibri" w:hAnsi="Calibri"/>
          <w:sz w:val="22"/>
          <w:szCs w:val="22"/>
        </w:rPr>
        <w:t>entities</w:t>
      </w:r>
    </w:p>
    <w:p w14:paraId="36194187" w14:textId="77777777" w:rsidR="0050428D" w:rsidRPr="00EA08EB" w:rsidRDefault="0050428D" w:rsidP="0050428D">
      <w:pPr>
        <w:pStyle w:val="ListParagraph"/>
        <w:numPr>
          <w:ilvl w:val="2"/>
          <w:numId w:val="12"/>
        </w:numPr>
        <w:rPr>
          <w:rFonts w:ascii="Calibri" w:hAnsi="Calibri"/>
          <w:sz w:val="22"/>
          <w:szCs w:val="22"/>
        </w:rPr>
      </w:pPr>
      <w:r w:rsidRPr="00EA08EB">
        <w:rPr>
          <w:rFonts w:ascii="Calibri" w:hAnsi="Calibri"/>
          <w:sz w:val="22"/>
          <w:szCs w:val="22"/>
        </w:rPr>
        <w:t>Different types of non-profit entities</w:t>
      </w:r>
    </w:p>
    <w:p w14:paraId="01F3A48D" w14:textId="77777777" w:rsidR="0050428D" w:rsidRPr="00EA08EB" w:rsidRDefault="0050428D" w:rsidP="0050428D">
      <w:pPr>
        <w:pStyle w:val="ListParagraph"/>
        <w:numPr>
          <w:ilvl w:val="2"/>
          <w:numId w:val="12"/>
        </w:numPr>
        <w:rPr>
          <w:rFonts w:ascii="Calibri" w:hAnsi="Calibri"/>
          <w:sz w:val="22"/>
          <w:szCs w:val="22"/>
        </w:rPr>
      </w:pPr>
      <w:r w:rsidRPr="00EA08EB">
        <w:rPr>
          <w:rFonts w:ascii="Calibri" w:hAnsi="Calibri"/>
          <w:sz w:val="22"/>
          <w:szCs w:val="22"/>
        </w:rPr>
        <w:t>Different types of for-profit entities</w:t>
      </w:r>
    </w:p>
    <w:p w14:paraId="7AFC53CA" w14:textId="77777777" w:rsidR="00505D21" w:rsidRDefault="0015753D" w:rsidP="00505D21">
      <w:pPr>
        <w:pStyle w:val="ListParagraph"/>
        <w:numPr>
          <w:ilvl w:val="1"/>
          <w:numId w:val="12"/>
        </w:numPr>
        <w:rPr>
          <w:rFonts w:ascii="Calibri" w:hAnsi="Calibri"/>
          <w:sz w:val="22"/>
          <w:szCs w:val="22"/>
        </w:rPr>
      </w:pPr>
      <w:r w:rsidRPr="00EA08EB">
        <w:rPr>
          <w:rFonts w:ascii="Calibri" w:hAnsi="Calibri"/>
          <w:sz w:val="22"/>
          <w:szCs w:val="22"/>
        </w:rPr>
        <w:t>How did these distinctions evolve and come to be? What keeps them in place? Why do they violate (or not violate) FOAA rights?</w:t>
      </w:r>
    </w:p>
    <w:p w14:paraId="3D2770C9" w14:textId="77777777" w:rsidR="0035356D" w:rsidRPr="00EA08EB" w:rsidRDefault="0035356D" w:rsidP="00505D21">
      <w:pPr>
        <w:pStyle w:val="ListParagraph"/>
        <w:numPr>
          <w:ilvl w:val="1"/>
          <w:numId w:val="12"/>
        </w:numPr>
        <w:rPr>
          <w:rFonts w:ascii="Calibri" w:hAnsi="Calibri"/>
          <w:sz w:val="22"/>
          <w:szCs w:val="22"/>
        </w:rPr>
      </w:pPr>
      <w:r>
        <w:rPr>
          <w:rFonts w:ascii="Calibri" w:hAnsi="Calibri"/>
          <w:sz w:val="22"/>
          <w:szCs w:val="22"/>
        </w:rPr>
        <w:t>How to achieve the “</w:t>
      </w:r>
      <w:r w:rsidRPr="0035356D">
        <w:rPr>
          <w:rFonts w:ascii="Calibri" w:hAnsi="Calibri"/>
          <w:b/>
          <w:sz w:val="22"/>
          <w:szCs w:val="22"/>
        </w:rPr>
        <w:t>level playing field</w:t>
      </w:r>
      <w:r>
        <w:rPr>
          <w:rFonts w:ascii="Calibri" w:hAnsi="Calibri"/>
          <w:sz w:val="22"/>
          <w:szCs w:val="22"/>
        </w:rPr>
        <w:t xml:space="preserve">” </w:t>
      </w:r>
    </w:p>
    <w:p w14:paraId="2D1E97ED" w14:textId="77777777" w:rsidR="00A70E24" w:rsidRPr="00EA08EB" w:rsidRDefault="00A70E24" w:rsidP="00A70E24">
      <w:pPr>
        <w:pStyle w:val="ListParagraph"/>
        <w:rPr>
          <w:rFonts w:ascii="Calibri" w:hAnsi="Calibri"/>
          <w:sz w:val="22"/>
          <w:szCs w:val="22"/>
        </w:rPr>
      </w:pPr>
    </w:p>
    <w:p w14:paraId="09B72ED3" w14:textId="77777777" w:rsidR="00A70E24" w:rsidRPr="00EA08EB" w:rsidRDefault="00A70E24" w:rsidP="00A70E24">
      <w:pPr>
        <w:pStyle w:val="ListParagraph"/>
        <w:numPr>
          <w:ilvl w:val="0"/>
          <w:numId w:val="12"/>
        </w:numPr>
        <w:rPr>
          <w:rFonts w:ascii="Calibri" w:hAnsi="Calibri"/>
          <w:sz w:val="22"/>
          <w:szCs w:val="22"/>
          <w:u w:val="single"/>
        </w:rPr>
      </w:pPr>
      <w:r w:rsidRPr="00EA08EB">
        <w:rPr>
          <w:rFonts w:ascii="Calibri" w:hAnsi="Calibri"/>
          <w:sz w:val="22"/>
          <w:szCs w:val="22"/>
          <w:u w:val="single"/>
        </w:rPr>
        <w:t>Recommendations</w:t>
      </w:r>
    </w:p>
    <w:p w14:paraId="538C1251" w14:textId="77777777" w:rsidR="00A70E24" w:rsidRPr="00EA08EB" w:rsidRDefault="00A70E24" w:rsidP="00A70E24">
      <w:pPr>
        <w:pStyle w:val="ListParagraph"/>
        <w:numPr>
          <w:ilvl w:val="1"/>
          <w:numId w:val="12"/>
        </w:numPr>
        <w:rPr>
          <w:rFonts w:ascii="Calibri" w:hAnsi="Calibri"/>
          <w:sz w:val="22"/>
          <w:szCs w:val="22"/>
        </w:rPr>
      </w:pPr>
      <w:r w:rsidRPr="00EA08EB">
        <w:rPr>
          <w:rFonts w:ascii="Calibri" w:hAnsi="Calibri"/>
          <w:sz w:val="22"/>
          <w:szCs w:val="22"/>
        </w:rPr>
        <w:t>Legal framework</w:t>
      </w:r>
    </w:p>
    <w:p w14:paraId="3FA79A12" w14:textId="77777777" w:rsidR="00A70E24" w:rsidRPr="00EA08EB" w:rsidRDefault="006D0119" w:rsidP="00A70E24">
      <w:pPr>
        <w:pStyle w:val="ListParagraph"/>
        <w:numPr>
          <w:ilvl w:val="2"/>
          <w:numId w:val="12"/>
        </w:numPr>
        <w:rPr>
          <w:rFonts w:ascii="Calibri" w:hAnsi="Calibri"/>
          <w:sz w:val="22"/>
          <w:szCs w:val="22"/>
        </w:rPr>
      </w:pPr>
      <w:r w:rsidRPr="00EA08EB">
        <w:rPr>
          <w:rFonts w:ascii="Calibri" w:hAnsi="Calibri"/>
          <w:sz w:val="22"/>
          <w:szCs w:val="22"/>
        </w:rPr>
        <w:t>Freedom of association</w:t>
      </w:r>
    </w:p>
    <w:p w14:paraId="1BCE8CEB" w14:textId="77777777" w:rsidR="00A70E24" w:rsidRPr="00EA08EB" w:rsidRDefault="006D0119" w:rsidP="00A70E24">
      <w:pPr>
        <w:pStyle w:val="ListParagraph"/>
        <w:numPr>
          <w:ilvl w:val="2"/>
          <w:numId w:val="12"/>
        </w:numPr>
        <w:rPr>
          <w:rFonts w:ascii="Calibri" w:hAnsi="Calibri"/>
          <w:sz w:val="22"/>
          <w:szCs w:val="22"/>
        </w:rPr>
      </w:pPr>
      <w:r w:rsidRPr="00EA08EB">
        <w:rPr>
          <w:rFonts w:ascii="Calibri" w:hAnsi="Calibri"/>
          <w:sz w:val="22"/>
          <w:szCs w:val="22"/>
        </w:rPr>
        <w:t xml:space="preserve">Freedom of </w:t>
      </w:r>
      <w:r w:rsidR="00EB04B5">
        <w:rPr>
          <w:rFonts w:ascii="Calibri" w:hAnsi="Calibri"/>
          <w:sz w:val="22"/>
          <w:szCs w:val="22"/>
        </w:rPr>
        <w:t xml:space="preserve">peaceful </w:t>
      </w:r>
      <w:r w:rsidRPr="00EA08EB">
        <w:rPr>
          <w:rFonts w:ascii="Calibri" w:hAnsi="Calibri"/>
          <w:sz w:val="22"/>
          <w:szCs w:val="22"/>
        </w:rPr>
        <w:t>assembly</w:t>
      </w:r>
    </w:p>
    <w:p w14:paraId="5E00C7D2" w14:textId="77777777" w:rsidR="00DA21E1" w:rsidRPr="00EA08EB" w:rsidRDefault="00A70E24" w:rsidP="00A70E24">
      <w:pPr>
        <w:pStyle w:val="ListParagraph"/>
        <w:numPr>
          <w:ilvl w:val="1"/>
          <w:numId w:val="12"/>
        </w:numPr>
        <w:rPr>
          <w:rFonts w:ascii="Calibri" w:hAnsi="Calibri"/>
          <w:sz w:val="22"/>
          <w:szCs w:val="22"/>
        </w:rPr>
      </w:pPr>
      <w:r w:rsidRPr="00EA08EB">
        <w:rPr>
          <w:rFonts w:ascii="Calibri" w:hAnsi="Calibri"/>
          <w:sz w:val="22"/>
          <w:szCs w:val="22"/>
        </w:rPr>
        <w:t>Practice</w:t>
      </w:r>
    </w:p>
    <w:p w14:paraId="5EFEA2D2" w14:textId="77777777" w:rsidR="006D0119" w:rsidRPr="00EA08EB" w:rsidRDefault="006D0119" w:rsidP="006D0119">
      <w:pPr>
        <w:pStyle w:val="ListParagraph"/>
        <w:numPr>
          <w:ilvl w:val="2"/>
          <w:numId w:val="12"/>
        </w:numPr>
        <w:rPr>
          <w:rFonts w:ascii="Calibri" w:hAnsi="Calibri"/>
          <w:sz w:val="22"/>
          <w:szCs w:val="22"/>
        </w:rPr>
      </w:pPr>
      <w:r w:rsidRPr="00EA08EB">
        <w:rPr>
          <w:rFonts w:ascii="Calibri" w:hAnsi="Calibri"/>
          <w:sz w:val="22"/>
          <w:szCs w:val="22"/>
        </w:rPr>
        <w:t>Freedom of association</w:t>
      </w:r>
    </w:p>
    <w:p w14:paraId="69B942D4" w14:textId="77777777" w:rsidR="006D0119" w:rsidRPr="00EA08EB" w:rsidRDefault="006D0119" w:rsidP="006D0119">
      <w:pPr>
        <w:pStyle w:val="ListParagraph"/>
        <w:numPr>
          <w:ilvl w:val="2"/>
          <w:numId w:val="12"/>
        </w:numPr>
        <w:rPr>
          <w:rFonts w:ascii="Calibri" w:hAnsi="Calibri"/>
          <w:sz w:val="22"/>
          <w:szCs w:val="22"/>
        </w:rPr>
      </w:pPr>
      <w:r w:rsidRPr="00EA08EB">
        <w:rPr>
          <w:rFonts w:ascii="Calibri" w:hAnsi="Calibri"/>
          <w:sz w:val="22"/>
          <w:szCs w:val="22"/>
        </w:rPr>
        <w:t xml:space="preserve">Freedom of </w:t>
      </w:r>
      <w:r w:rsidR="00EB04B5">
        <w:rPr>
          <w:rFonts w:ascii="Calibri" w:hAnsi="Calibri"/>
          <w:sz w:val="22"/>
          <w:szCs w:val="22"/>
        </w:rPr>
        <w:t xml:space="preserve">peaceful </w:t>
      </w:r>
      <w:r w:rsidRPr="00EA08EB">
        <w:rPr>
          <w:rFonts w:ascii="Calibri" w:hAnsi="Calibri"/>
          <w:sz w:val="22"/>
          <w:szCs w:val="22"/>
        </w:rPr>
        <w:t>assembly</w:t>
      </w:r>
    </w:p>
    <w:p w14:paraId="0345B87A" w14:textId="77777777" w:rsidR="00A70E24" w:rsidRPr="00EA08EB" w:rsidRDefault="00A70E24" w:rsidP="006D0119">
      <w:pPr>
        <w:pStyle w:val="ListParagraph"/>
        <w:ind w:left="2160"/>
        <w:rPr>
          <w:rFonts w:ascii="Calibri" w:hAnsi="Calibri"/>
          <w:sz w:val="22"/>
          <w:szCs w:val="22"/>
        </w:rPr>
      </w:pPr>
    </w:p>
    <w:sectPr w:rsidR="00A70E24" w:rsidRPr="00EA08EB" w:rsidSect="00597E70">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258623" w15:done="0"/>
  <w15:commentEx w15:paraId="4AFE0307" w15:done="0"/>
  <w15:commentEx w15:paraId="227A8858" w15:done="0"/>
  <w15:commentEx w15:paraId="04A4DA4D" w15:done="0"/>
  <w15:commentEx w15:paraId="35E8A09A" w15:done="0"/>
  <w15:commentEx w15:paraId="3AE65F51" w15:done="0"/>
  <w15:commentEx w15:paraId="32C56435" w15:done="0"/>
  <w15:commentEx w15:paraId="71C45703" w15:done="0"/>
  <w15:commentEx w15:paraId="10309BB1" w15:done="0"/>
  <w15:commentEx w15:paraId="12E64EDB" w15:done="0"/>
  <w15:commentEx w15:paraId="5754235D" w15:done="0"/>
  <w15:commentEx w15:paraId="49B69A2B" w15:done="0"/>
  <w15:commentEx w15:paraId="4248B2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0D510" w14:textId="77777777" w:rsidR="007D6201" w:rsidRDefault="007D6201" w:rsidP="00DA21E1">
      <w:pPr>
        <w:spacing w:after="0" w:line="240" w:lineRule="auto"/>
      </w:pPr>
      <w:r>
        <w:separator/>
      </w:r>
    </w:p>
  </w:endnote>
  <w:endnote w:type="continuationSeparator" w:id="0">
    <w:p w14:paraId="5AB0B91D" w14:textId="77777777" w:rsidR="007D6201" w:rsidRDefault="007D6201" w:rsidP="00DA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ACDAF" w14:textId="77777777" w:rsidR="007D6201" w:rsidRDefault="007D6201" w:rsidP="00DA21E1">
      <w:pPr>
        <w:spacing w:after="0" w:line="240" w:lineRule="auto"/>
      </w:pPr>
      <w:r>
        <w:separator/>
      </w:r>
    </w:p>
  </w:footnote>
  <w:footnote w:type="continuationSeparator" w:id="0">
    <w:p w14:paraId="4E1BB481" w14:textId="77777777" w:rsidR="007D6201" w:rsidRDefault="007D6201" w:rsidP="00DA21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F5A5" w14:textId="77777777" w:rsidR="00A056B8" w:rsidRDefault="00280AB0">
    <w:pPr>
      <w:pStyle w:val="Header"/>
    </w:pPr>
    <w:r>
      <w:rPr>
        <w:noProof/>
      </w:rPr>
      <mc:AlternateContent>
        <mc:Choice Requires="wps">
          <w:drawing>
            <wp:anchor distT="0" distB="0" distL="114300" distR="114300" simplePos="0" relativeHeight="251660288" behindDoc="0" locked="0" layoutInCell="0" allowOverlap="1" wp14:anchorId="7FAAE7A0" wp14:editId="5A84D691">
              <wp:simplePos x="0" y="0"/>
              <wp:positionH relativeFrom="margin">
                <wp:align>left</wp:align>
              </wp:positionH>
              <wp:positionV relativeFrom="topMargin">
                <wp:align>center</wp:align>
              </wp:positionV>
              <wp:extent cx="5943600" cy="170815"/>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wps:spPr>
                    <wps:txbx>
                      <w:txbxContent>
                        <w:p w14:paraId="34FE7214" w14:textId="77777777" w:rsidR="00505D21" w:rsidRPr="00DA21E1" w:rsidRDefault="00505D21">
                          <w:pPr>
                            <w:spacing w:after="0" w:line="240" w:lineRule="auto"/>
                            <w:jc w:val="right"/>
                            <w:rPr>
                              <w:rFonts w:asciiTheme="majorHAnsi" w:hAnsiTheme="majorHAnsi"/>
                              <w:i/>
                              <w:noProof/>
                            </w:rPr>
                          </w:pPr>
                          <w:r w:rsidRPr="00DA21E1">
                            <w:rPr>
                              <w:rFonts w:asciiTheme="majorHAnsi" w:hAnsiTheme="majorHAnsi"/>
                              <w:i/>
                              <w:noProof/>
                            </w:rPr>
                            <w:t>Concept Note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" o:allowincell="f" filled="f" stroked="f">
              <v:textbox style="mso-fit-shape-to-text:t" inset=",0,,0">
                <w:txbxContent>
                  <w:p w:rsidR="00505D21" w:rsidRPr="00DA21E1" w:rsidRDefault="00505D21">
                    <w:pPr>
                      <w:spacing w:after="0" w:line="240" w:lineRule="auto"/>
                      <w:jc w:val="right"/>
                      <w:rPr>
                        <w:rFonts w:asciiTheme="majorHAnsi" w:hAnsiTheme="majorHAnsi"/>
                        <w:i/>
                        <w:noProof/>
                      </w:rPr>
                    </w:pPr>
                    <w:r w:rsidRPr="00DA21E1">
                      <w:rPr>
                        <w:rFonts w:asciiTheme="majorHAnsi" w:hAnsiTheme="majorHAnsi"/>
                        <w:i/>
                        <w:noProof/>
                      </w:rPr>
                      <w:t>Concept Note</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52852D1" wp14:editId="66FDE31B">
              <wp:simplePos x="0" y="0"/>
              <wp:positionH relativeFrom="page">
                <wp:align>right</wp:align>
              </wp:positionH>
              <wp:positionV relativeFrom="topMargin">
                <wp:align>center</wp:align>
              </wp:positionV>
              <wp:extent cx="91440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C7625F0" w14:textId="77777777" w:rsidR="00505D21" w:rsidRDefault="007672D0">
                          <w:pPr>
                            <w:spacing w:after="0" w:line="240" w:lineRule="auto"/>
                            <w:rPr>
                              <w:color w:val="FFFFFF" w:themeColor="background1"/>
                            </w:rPr>
                          </w:pPr>
                          <w:r>
                            <w:fldChar w:fldCharType="begin"/>
                          </w:r>
                          <w:r w:rsidR="00505D21">
                            <w:instrText xml:space="preserve"> PAGE   \* MERGEFORMAT </w:instrText>
                          </w:r>
                          <w:r>
                            <w:fldChar w:fldCharType="separate"/>
                          </w:r>
                          <w:r w:rsidR="00B80488" w:rsidRPr="00B80488">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BY6jHUHwIAADEEAAAOAAAAAAAAAAAAAAAAAC4CAABkcnMvZTJvRG9jLnhtbFBLAQIt&#10;ABQABgAIAAAAIQBAcTQ42wAAAAQBAAAPAAAAAAAAAAAAAAAAAHkEAABkcnMvZG93bnJldi54bWxQ&#10;SwUGAAAAAAQABADzAAAAgQUAAAAA&#10;" o:allowincell="f" fillcolor="#a8d08d [1945]" stroked="f">
              <v:textbox style="mso-fit-shape-to-text:t" inset=",0,,0">
                <w:txbxContent>
                  <w:p w:rsidR="00505D21" w:rsidRDefault="007672D0">
                    <w:pPr>
                      <w:spacing w:after="0" w:line="240" w:lineRule="auto"/>
                      <w:rPr>
                        <w:color w:val="FFFFFF" w:themeColor="background1"/>
                      </w:rPr>
                    </w:pPr>
                    <w:r>
                      <w:fldChar w:fldCharType="begin"/>
                    </w:r>
                    <w:r w:rsidR="00505D21">
                      <w:instrText xml:space="preserve"> PAGE   \* MERGEFORMAT </w:instrText>
                    </w:r>
                    <w:r>
                      <w:fldChar w:fldCharType="separate"/>
                    </w:r>
                    <w:r w:rsidR="00280AB0" w:rsidRPr="00280AB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119"/>
    <w:multiLevelType w:val="hybridMultilevel"/>
    <w:tmpl w:val="4FCE1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2B63AC0"/>
    <w:multiLevelType w:val="hybridMultilevel"/>
    <w:tmpl w:val="86DAC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251476"/>
    <w:multiLevelType w:val="hybridMultilevel"/>
    <w:tmpl w:val="AA60B950"/>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E2D7F00"/>
    <w:multiLevelType w:val="hybridMultilevel"/>
    <w:tmpl w:val="854643EC"/>
    <w:lvl w:ilvl="0" w:tplc="581A5BC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F0A15"/>
    <w:multiLevelType w:val="hybridMultilevel"/>
    <w:tmpl w:val="E68C28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7A30E95"/>
    <w:multiLevelType w:val="hybridMultilevel"/>
    <w:tmpl w:val="526420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A630B"/>
    <w:multiLevelType w:val="hybridMultilevel"/>
    <w:tmpl w:val="CB1A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5D0ACA"/>
    <w:multiLevelType w:val="hybridMultilevel"/>
    <w:tmpl w:val="D9AAD100"/>
    <w:lvl w:ilvl="0" w:tplc="A8A4290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14BFA"/>
    <w:multiLevelType w:val="hybridMultilevel"/>
    <w:tmpl w:val="72989EC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A1C2EB3"/>
    <w:multiLevelType w:val="hybridMultilevel"/>
    <w:tmpl w:val="891EC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E3032CD"/>
    <w:multiLevelType w:val="hybridMultilevel"/>
    <w:tmpl w:val="3EA0F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6C029C"/>
    <w:multiLevelType w:val="hybridMultilevel"/>
    <w:tmpl w:val="FD646CC6"/>
    <w:lvl w:ilvl="0" w:tplc="2B06D10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D519C"/>
    <w:multiLevelType w:val="hybridMultilevel"/>
    <w:tmpl w:val="0AA24AB4"/>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07B785C"/>
    <w:multiLevelType w:val="hybridMultilevel"/>
    <w:tmpl w:val="70D2B314"/>
    <w:lvl w:ilvl="0" w:tplc="070E011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3"/>
  </w:num>
  <w:num w:numId="4">
    <w:abstractNumId w:val="1"/>
  </w:num>
  <w:num w:numId="5">
    <w:abstractNumId w:val="4"/>
  </w:num>
  <w:num w:numId="6">
    <w:abstractNumId w:val="12"/>
  </w:num>
  <w:num w:numId="7">
    <w:abstractNumId w:val="10"/>
  </w:num>
  <w:num w:numId="8">
    <w:abstractNumId w:val="0"/>
  </w:num>
  <w:num w:numId="9">
    <w:abstractNumId w:val="9"/>
  </w:num>
  <w:num w:numId="10">
    <w:abstractNumId w:val="6"/>
  </w:num>
  <w:num w:numId="11">
    <w:abstractNumId w:val="2"/>
  </w:num>
  <w:num w:numId="12">
    <w:abstractNumId w:val="11"/>
  </w:num>
  <w:num w:numId="13">
    <w:abstractNumId w:val="7"/>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ruguru Kaguongo">
    <w15:presenceInfo w15:providerId="AD" w15:userId="S-1-5-21-2979033255-4174153830-508997208-6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5A"/>
    <w:rsid w:val="00011038"/>
    <w:rsid w:val="000153A8"/>
    <w:rsid w:val="000215BA"/>
    <w:rsid w:val="00044998"/>
    <w:rsid w:val="00047757"/>
    <w:rsid w:val="00077A24"/>
    <w:rsid w:val="000A4F82"/>
    <w:rsid w:val="000C3D7F"/>
    <w:rsid w:val="000C5428"/>
    <w:rsid w:val="000E1968"/>
    <w:rsid w:val="000E535A"/>
    <w:rsid w:val="000F6690"/>
    <w:rsid w:val="00120947"/>
    <w:rsid w:val="00130FBA"/>
    <w:rsid w:val="00134E77"/>
    <w:rsid w:val="001519BF"/>
    <w:rsid w:val="0015753D"/>
    <w:rsid w:val="00157776"/>
    <w:rsid w:val="001728CB"/>
    <w:rsid w:val="001839D9"/>
    <w:rsid w:val="0019534C"/>
    <w:rsid w:val="00197252"/>
    <w:rsid w:val="001B45E3"/>
    <w:rsid w:val="001B6138"/>
    <w:rsid w:val="001F4DBC"/>
    <w:rsid w:val="00220535"/>
    <w:rsid w:val="00263CA9"/>
    <w:rsid w:val="00280AB0"/>
    <w:rsid w:val="002B1454"/>
    <w:rsid w:val="002D0120"/>
    <w:rsid w:val="002D16C9"/>
    <w:rsid w:val="002D3A17"/>
    <w:rsid w:val="00302391"/>
    <w:rsid w:val="00306585"/>
    <w:rsid w:val="00317BCA"/>
    <w:rsid w:val="00337E46"/>
    <w:rsid w:val="0034343C"/>
    <w:rsid w:val="0035356D"/>
    <w:rsid w:val="0037635A"/>
    <w:rsid w:val="00380578"/>
    <w:rsid w:val="0038387F"/>
    <w:rsid w:val="003960A6"/>
    <w:rsid w:val="003A2CF5"/>
    <w:rsid w:val="003A3604"/>
    <w:rsid w:val="003C5EC1"/>
    <w:rsid w:val="003E24D4"/>
    <w:rsid w:val="00407A86"/>
    <w:rsid w:val="004A0D2C"/>
    <w:rsid w:val="004B5E1C"/>
    <w:rsid w:val="004B6DDF"/>
    <w:rsid w:val="004C1D80"/>
    <w:rsid w:val="004F227E"/>
    <w:rsid w:val="0050428D"/>
    <w:rsid w:val="00505D21"/>
    <w:rsid w:val="0051647D"/>
    <w:rsid w:val="00520290"/>
    <w:rsid w:val="00523710"/>
    <w:rsid w:val="00535C8A"/>
    <w:rsid w:val="005363D2"/>
    <w:rsid w:val="00544C72"/>
    <w:rsid w:val="00565DBE"/>
    <w:rsid w:val="00592628"/>
    <w:rsid w:val="00597E70"/>
    <w:rsid w:val="005A46DD"/>
    <w:rsid w:val="005B294F"/>
    <w:rsid w:val="005C46F9"/>
    <w:rsid w:val="005C57BA"/>
    <w:rsid w:val="005D5546"/>
    <w:rsid w:val="005E0697"/>
    <w:rsid w:val="005E2844"/>
    <w:rsid w:val="00626BEC"/>
    <w:rsid w:val="006321AC"/>
    <w:rsid w:val="006829EC"/>
    <w:rsid w:val="006930AB"/>
    <w:rsid w:val="0069358B"/>
    <w:rsid w:val="006A73CC"/>
    <w:rsid w:val="006D0119"/>
    <w:rsid w:val="0070424E"/>
    <w:rsid w:val="00704796"/>
    <w:rsid w:val="00743B9F"/>
    <w:rsid w:val="00756498"/>
    <w:rsid w:val="00761E0D"/>
    <w:rsid w:val="007644F4"/>
    <w:rsid w:val="007672D0"/>
    <w:rsid w:val="007722B1"/>
    <w:rsid w:val="00773508"/>
    <w:rsid w:val="0077555E"/>
    <w:rsid w:val="00780F71"/>
    <w:rsid w:val="007A2205"/>
    <w:rsid w:val="007D1817"/>
    <w:rsid w:val="007D5074"/>
    <w:rsid w:val="007D6201"/>
    <w:rsid w:val="007E1878"/>
    <w:rsid w:val="007E2412"/>
    <w:rsid w:val="0081330C"/>
    <w:rsid w:val="00836995"/>
    <w:rsid w:val="0084349A"/>
    <w:rsid w:val="008444D8"/>
    <w:rsid w:val="00854F28"/>
    <w:rsid w:val="0085556E"/>
    <w:rsid w:val="00857880"/>
    <w:rsid w:val="0086732F"/>
    <w:rsid w:val="008723F2"/>
    <w:rsid w:val="008903F2"/>
    <w:rsid w:val="008920C0"/>
    <w:rsid w:val="008A3DD2"/>
    <w:rsid w:val="008C6D8B"/>
    <w:rsid w:val="008C72EB"/>
    <w:rsid w:val="008D1237"/>
    <w:rsid w:val="008E0965"/>
    <w:rsid w:val="008F3785"/>
    <w:rsid w:val="00907571"/>
    <w:rsid w:val="0091169E"/>
    <w:rsid w:val="00950232"/>
    <w:rsid w:val="0095228E"/>
    <w:rsid w:val="00956A5B"/>
    <w:rsid w:val="00971D69"/>
    <w:rsid w:val="00976D90"/>
    <w:rsid w:val="00981C35"/>
    <w:rsid w:val="009B08EF"/>
    <w:rsid w:val="00A056B8"/>
    <w:rsid w:val="00A139E2"/>
    <w:rsid w:val="00A161B9"/>
    <w:rsid w:val="00A409DC"/>
    <w:rsid w:val="00A52085"/>
    <w:rsid w:val="00A60921"/>
    <w:rsid w:val="00A60927"/>
    <w:rsid w:val="00A70E24"/>
    <w:rsid w:val="00A77E54"/>
    <w:rsid w:val="00A86584"/>
    <w:rsid w:val="00AA3E63"/>
    <w:rsid w:val="00AB5347"/>
    <w:rsid w:val="00AD0DE2"/>
    <w:rsid w:val="00AF6A8B"/>
    <w:rsid w:val="00B10120"/>
    <w:rsid w:val="00B451A5"/>
    <w:rsid w:val="00B80488"/>
    <w:rsid w:val="00B84FDD"/>
    <w:rsid w:val="00BB1509"/>
    <w:rsid w:val="00BE0EB7"/>
    <w:rsid w:val="00BE7A02"/>
    <w:rsid w:val="00C50522"/>
    <w:rsid w:val="00C56F7B"/>
    <w:rsid w:val="00C745E3"/>
    <w:rsid w:val="00C75BFF"/>
    <w:rsid w:val="00C8033A"/>
    <w:rsid w:val="00C93FA6"/>
    <w:rsid w:val="00C94AFD"/>
    <w:rsid w:val="00CD2B44"/>
    <w:rsid w:val="00CE5C50"/>
    <w:rsid w:val="00CF7DDF"/>
    <w:rsid w:val="00D1342B"/>
    <w:rsid w:val="00D168F9"/>
    <w:rsid w:val="00D23B06"/>
    <w:rsid w:val="00D50E76"/>
    <w:rsid w:val="00D83A22"/>
    <w:rsid w:val="00DA21E1"/>
    <w:rsid w:val="00DD13B9"/>
    <w:rsid w:val="00DE0192"/>
    <w:rsid w:val="00E01660"/>
    <w:rsid w:val="00E073A4"/>
    <w:rsid w:val="00E31094"/>
    <w:rsid w:val="00E63BD3"/>
    <w:rsid w:val="00E746AB"/>
    <w:rsid w:val="00E95E8E"/>
    <w:rsid w:val="00EA08EB"/>
    <w:rsid w:val="00EA1EE8"/>
    <w:rsid w:val="00EB04B5"/>
    <w:rsid w:val="00EB7E40"/>
    <w:rsid w:val="00EF0697"/>
    <w:rsid w:val="00EF6801"/>
    <w:rsid w:val="00F0530A"/>
    <w:rsid w:val="00F214C5"/>
    <w:rsid w:val="00F65B58"/>
    <w:rsid w:val="00F716F9"/>
    <w:rsid w:val="00F930E9"/>
    <w:rsid w:val="00FC74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60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21"/>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A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E1"/>
  </w:style>
  <w:style w:type="paragraph" w:styleId="Footer">
    <w:name w:val="footer"/>
    <w:basedOn w:val="Normal"/>
    <w:link w:val="FooterChar"/>
    <w:uiPriority w:val="99"/>
    <w:unhideWhenUsed/>
    <w:rsid w:val="00DA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E1"/>
  </w:style>
  <w:style w:type="paragraph" w:styleId="BalloonText">
    <w:name w:val="Balloon Text"/>
    <w:basedOn w:val="Normal"/>
    <w:link w:val="BalloonTextChar"/>
    <w:uiPriority w:val="99"/>
    <w:semiHidden/>
    <w:unhideWhenUsed/>
    <w:rsid w:val="009075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57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7757"/>
    <w:rPr>
      <w:sz w:val="18"/>
      <w:szCs w:val="18"/>
    </w:rPr>
  </w:style>
  <w:style w:type="paragraph" w:styleId="CommentText">
    <w:name w:val="annotation text"/>
    <w:basedOn w:val="Normal"/>
    <w:link w:val="CommentTextChar"/>
    <w:uiPriority w:val="99"/>
    <w:semiHidden/>
    <w:unhideWhenUsed/>
    <w:rsid w:val="00047757"/>
    <w:pPr>
      <w:spacing w:line="240" w:lineRule="auto"/>
    </w:pPr>
    <w:rPr>
      <w:sz w:val="24"/>
      <w:szCs w:val="24"/>
    </w:rPr>
  </w:style>
  <w:style w:type="character" w:customStyle="1" w:styleId="CommentTextChar">
    <w:name w:val="Comment Text Char"/>
    <w:basedOn w:val="DefaultParagraphFont"/>
    <w:link w:val="CommentText"/>
    <w:uiPriority w:val="99"/>
    <w:semiHidden/>
    <w:rsid w:val="00047757"/>
    <w:rPr>
      <w:sz w:val="24"/>
      <w:szCs w:val="24"/>
    </w:rPr>
  </w:style>
  <w:style w:type="paragraph" w:styleId="CommentSubject">
    <w:name w:val="annotation subject"/>
    <w:basedOn w:val="CommentText"/>
    <w:next w:val="CommentText"/>
    <w:link w:val="CommentSubjectChar"/>
    <w:uiPriority w:val="99"/>
    <w:semiHidden/>
    <w:unhideWhenUsed/>
    <w:rsid w:val="00047757"/>
    <w:rPr>
      <w:b/>
      <w:bCs/>
      <w:sz w:val="20"/>
      <w:szCs w:val="20"/>
    </w:rPr>
  </w:style>
  <w:style w:type="character" w:customStyle="1" w:styleId="CommentSubjectChar">
    <w:name w:val="Comment Subject Char"/>
    <w:basedOn w:val="CommentTextChar"/>
    <w:link w:val="CommentSubject"/>
    <w:uiPriority w:val="99"/>
    <w:semiHidden/>
    <w:rsid w:val="00047757"/>
    <w:rPr>
      <w:b/>
      <w:bCs/>
      <w:sz w:val="20"/>
      <w:szCs w:val="20"/>
    </w:rPr>
  </w:style>
  <w:style w:type="paragraph" w:styleId="Revision">
    <w:name w:val="Revision"/>
    <w:hidden/>
    <w:uiPriority w:val="99"/>
    <w:semiHidden/>
    <w:rsid w:val="0075649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21"/>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A2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1E1"/>
  </w:style>
  <w:style w:type="paragraph" w:styleId="Footer">
    <w:name w:val="footer"/>
    <w:basedOn w:val="Normal"/>
    <w:link w:val="FooterChar"/>
    <w:uiPriority w:val="99"/>
    <w:unhideWhenUsed/>
    <w:rsid w:val="00DA2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1E1"/>
  </w:style>
  <w:style w:type="paragraph" w:styleId="BalloonText">
    <w:name w:val="Balloon Text"/>
    <w:basedOn w:val="Normal"/>
    <w:link w:val="BalloonTextChar"/>
    <w:uiPriority w:val="99"/>
    <w:semiHidden/>
    <w:unhideWhenUsed/>
    <w:rsid w:val="009075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57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7757"/>
    <w:rPr>
      <w:sz w:val="18"/>
      <w:szCs w:val="18"/>
    </w:rPr>
  </w:style>
  <w:style w:type="paragraph" w:styleId="CommentText">
    <w:name w:val="annotation text"/>
    <w:basedOn w:val="Normal"/>
    <w:link w:val="CommentTextChar"/>
    <w:uiPriority w:val="99"/>
    <w:semiHidden/>
    <w:unhideWhenUsed/>
    <w:rsid w:val="00047757"/>
    <w:pPr>
      <w:spacing w:line="240" w:lineRule="auto"/>
    </w:pPr>
    <w:rPr>
      <w:sz w:val="24"/>
      <w:szCs w:val="24"/>
    </w:rPr>
  </w:style>
  <w:style w:type="character" w:customStyle="1" w:styleId="CommentTextChar">
    <w:name w:val="Comment Text Char"/>
    <w:basedOn w:val="DefaultParagraphFont"/>
    <w:link w:val="CommentText"/>
    <w:uiPriority w:val="99"/>
    <w:semiHidden/>
    <w:rsid w:val="00047757"/>
    <w:rPr>
      <w:sz w:val="24"/>
      <w:szCs w:val="24"/>
    </w:rPr>
  </w:style>
  <w:style w:type="paragraph" w:styleId="CommentSubject">
    <w:name w:val="annotation subject"/>
    <w:basedOn w:val="CommentText"/>
    <w:next w:val="CommentText"/>
    <w:link w:val="CommentSubjectChar"/>
    <w:uiPriority w:val="99"/>
    <w:semiHidden/>
    <w:unhideWhenUsed/>
    <w:rsid w:val="00047757"/>
    <w:rPr>
      <w:b/>
      <w:bCs/>
      <w:sz w:val="20"/>
      <w:szCs w:val="20"/>
    </w:rPr>
  </w:style>
  <w:style w:type="character" w:customStyle="1" w:styleId="CommentSubjectChar">
    <w:name w:val="Comment Subject Char"/>
    <w:basedOn w:val="CommentTextChar"/>
    <w:link w:val="CommentSubject"/>
    <w:uiPriority w:val="99"/>
    <w:semiHidden/>
    <w:rsid w:val="00047757"/>
    <w:rPr>
      <w:b/>
      <w:bCs/>
      <w:sz w:val="20"/>
      <w:szCs w:val="20"/>
    </w:rPr>
  </w:style>
  <w:style w:type="paragraph" w:styleId="Revision">
    <w:name w:val="Revision"/>
    <w:hidden/>
    <w:uiPriority w:val="99"/>
    <w:semiHidden/>
    <w:rsid w:val="00756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9C3E7-4CD3-3543-BA60-3EED1DE7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1198</Words>
  <Characters>6829</Characters>
  <Application>Microsoft Macintosh Word</Application>
  <DocSecurity>0</DocSecurity>
  <Lines>56</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Waruguru Kaguongo</dc:creator>
  <cp:lastModifiedBy>Jeff Vize</cp:lastModifiedBy>
  <cp:revision>4</cp:revision>
  <dcterms:created xsi:type="dcterms:W3CDTF">2015-03-24T06:14:00Z</dcterms:created>
  <dcterms:modified xsi:type="dcterms:W3CDTF">2015-03-24T06:20:00Z</dcterms:modified>
</cp:coreProperties>
</file>