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89E6" w14:textId="77777777" w:rsidR="00DA21E1" w:rsidRPr="005D0A73" w:rsidRDefault="00DA21E1" w:rsidP="00DA21E1">
      <w:pPr>
        <w:jc w:val="center"/>
        <w:rPr>
          <w:b/>
        </w:rPr>
      </w:pPr>
      <w:r>
        <w:rPr>
          <w:b/>
        </w:rPr>
        <w:t xml:space="preserve">HRC </w:t>
      </w:r>
      <w:r w:rsidRPr="005D0A73">
        <w:rPr>
          <w:b/>
        </w:rPr>
        <w:t xml:space="preserve">Thematic Report on </w:t>
      </w:r>
      <w:r>
        <w:rPr>
          <w:b/>
        </w:rPr>
        <w:t>FOAA in the context of the exploitation of natural resources</w:t>
      </w:r>
      <w:r w:rsidRPr="005D0A73">
        <w:rPr>
          <w:b/>
        </w:rPr>
        <w:t xml:space="preserve"> </w:t>
      </w:r>
    </w:p>
    <w:p w14:paraId="697B3650" w14:textId="1E352079" w:rsidR="00DA21E1" w:rsidRPr="005D0A73" w:rsidRDefault="00DA21E1" w:rsidP="00DA21E1">
      <w:pPr>
        <w:jc w:val="center"/>
        <w:rPr>
          <w:b/>
        </w:rPr>
      </w:pPr>
      <w:r w:rsidRPr="005D0A73">
        <w:rPr>
          <w:b/>
        </w:rPr>
        <w:t xml:space="preserve">Expert Consultation – </w:t>
      </w:r>
      <w:r>
        <w:rPr>
          <w:b/>
        </w:rPr>
        <w:t xml:space="preserve">15-16 </w:t>
      </w:r>
      <w:r w:rsidR="001728CB">
        <w:rPr>
          <w:b/>
        </w:rPr>
        <w:t>December 2014</w:t>
      </w:r>
      <w:bookmarkStart w:id="0" w:name="_GoBack"/>
      <w:bookmarkEnd w:id="0"/>
    </w:p>
    <w:p w14:paraId="36DF7B59" w14:textId="77777777" w:rsidR="00DA21E1" w:rsidRPr="005D0A73" w:rsidRDefault="00DA21E1" w:rsidP="00DA21E1">
      <w:pPr>
        <w:tabs>
          <w:tab w:val="left" w:pos="5749"/>
        </w:tabs>
        <w:rPr>
          <w:b/>
        </w:rPr>
      </w:pPr>
      <w:r>
        <w:rPr>
          <w:b/>
        </w:rPr>
        <w:tab/>
      </w:r>
    </w:p>
    <w:p w14:paraId="2B9673D8" w14:textId="5CE3C2BD" w:rsidR="00DA21E1" w:rsidRDefault="00DA21E1" w:rsidP="00A86584">
      <w:pPr>
        <w:jc w:val="center"/>
        <w:rPr>
          <w:u w:val="single"/>
        </w:rPr>
      </w:pPr>
      <w:r w:rsidRPr="005D0A73">
        <w:rPr>
          <w:b/>
        </w:rPr>
        <w:t>Concept Note</w:t>
      </w:r>
    </w:p>
    <w:p w14:paraId="45E6ED8D" w14:textId="77777777" w:rsidR="00A60921" w:rsidRPr="00DA21E1" w:rsidRDefault="00A60921" w:rsidP="00A60921">
      <w:pPr>
        <w:pStyle w:val="ListParagraph"/>
        <w:numPr>
          <w:ilvl w:val="0"/>
          <w:numId w:val="2"/>
        </w:numPr>
        <w:rPr>
          <w:rFonts w:asciiTheme="minorHAnsi" w:hAnsiTheme="minorHAnsi"/>
          <w:u w:val="single"/>
        </w:rPr>
      </w:pPr>
      <w:r w:rsidRPr="00DA21E1">
        <w:rPr>
          <w:rFonts w:asciiTheme="minorHAnsi" w:hAnsiTheme="minorHAnsi"/>
          <w:u w:val="single"/>
        </w:rPr>
        <w:t>Introduction and background</w:t>
      </w:r>
    </w:p>
    <w:p w14:paraId="47340A05" w14:textId="77777777" w:rsidR="00DA21E1" w:rsidRDefault="00DA21E1"/>
    <w:p w14:paraId="32714CD1" w14:textId="3C31F24A" w:rsidR="000C3D7F" w:rsidRPr="00DA21E1" w:rsidRDefault="0037635A">
      <w:r w:rsidRPr="00DA21E1">
        <w:t xml:space="preserve">The increasing demand for </w:t>
      </w:r>
      <w:r w:rsidR="00981C35">
        <w:t xml:space="preserve">natural resources including land, water, timber, minerals, oil, gas and others, which are </w:t>
      </w:r>
      <w:r w:rsidRPr="00DA21E1">
        <w:t>finite</w:t>
      </w:r>
      <w:r w:rsidR="00981C35">
        <w:t xml:space="preserve"> </w:t>
      </w:r>
      <w:r w:rsidR="00A60927" w:rsidRPr="00DA21E1">
        <w:t xml:space="preserve">means intense competition for </w:t>
      </w:r>
      <w:r w:rsidR="00A161B9" w:rsidRPr="00DA21E1">
        <w:t xml:space="preserve">access to </w:t>
      </w:r>
      <w:r w:rsidR="00A60927" w:rsidRPr="00DA21E1">
        <w:t>the</w:t>
      </w:r>
      <w:r w:rsidR="00981C35">
        <w:t>se</w:t>
      </w:r>
      <w:r w:rsidR="00A60927" w:rsidRPr="00DA21E1">
        <w:t xml:space="preserve"> resources</w:t>
      </w:r>
      <w:r w:rsidR="00756498">
        <w:t>. C</w:t>
      </w:r>
      <w:r w:rsidR="00A60927" w:rsidRPr="00DA21E1">
        <w:t>onflict</w:t>
      </w:r>
      <w:r w:rsidR="00756498">
        <w:t xml:space="preserve"> often results</w:t>
      </w:r>
      <w:r w:rsidR="00A60927" w:rsidRPr="00DA21E1">
        <w:t xml:space="preserve"> between those intending to exploit the resources (and their beneficiaries) and those to whom the resources belong</w:t>
      </w:r>
      <w:r w:rsidR="007A2205">
        <w:t>/ those who live close to areas where resources are exploited/ those who are directly affected by the exploitation/ those whose human rights are directly affected by natural resource exploitation</w:t>
      </w:r>
      <w:r w:rsidR="00A60927" w:rsidRPr="00DA21E1">
        <w:t>.</w:t>
      </w:r>
    </w:p>
    <w:p w14:paraId="3F9CB016" w14:textId="32B37620" w:rsidR="004C1D80" w:rsidRDefault="00E01660" w:rsidP="00A161B9">
      <w:r w:rsidRPr="00DA21E1">
        <w:t xml:space="preserve">Many resource rich countries suffer from low levels of development, particularly human development, and economic and political instability – the ‘resource-curse’. </w:t>
      </w:r>
      <w:r w:rsidR="007D5074" w:rsidRPr="00DA21E1">
        <w:t>The opaqueness of decision-making around resource exploitation contributes to t</w:t>
      </w:r>
      <w:r w:rsidR="00CD2B44" w:rsidRPr="00DA21E1">
        <w:t xml:space="preserve">his state of affairs. Those </w:t>
      </w:r>
      <w:r w:rsidR="007D5074" w:rsidRPr="00DA21E1">
        <w:t>most affected by exploitation activities are</w:t>
      </w:r>
      <w:r w:rsidR="00907571">
        <w:t xml:space="preserve"> often</w:t>
      </w:r>
      <w:r w:rsidR="007D5074" w:rsidRPr="00DA21E1">
        <w:t xml:space="preserve"> not consulted</w:t>
      </w:r>
      <w:r w:rsidR="00F65B58">
        <w:t xml:space="preserve">. </w:t>
      </w:r>
      <w:r w:rsidR="00F214C5">
        <w:t>Local residents and t</w:t>
      </w:r>
      <w:r w:rsidR="007D5074" w:rsidRPr="00DA21E1">
        <w:t xml:space="preserve">hose who own the lands and territory in which the resources are found </w:t>
      </w:r>
      <w:r w:rsidR="00907571">
        <w:t>can be</w:t>
      </w:r>
      <w:r w:rsidR="00907571" w:rsidRPr="00DA21E1">
        <w:t xml:space="preserve"> </w:t>
      </w:r>
      <w:r w:rsidR="007D5074" w:rsidRPr="00DA21E1">
        <w:t>excluded from negotiations and agreements concerning the land</w:t>
      </w:r>
      <w:r w:rsidR="00981C35">
        <w:t xml:space="preserve"> and its resources</w:t>
      </w:r>
      <w:r w:rsidR="004C1D80">
        <w:t>.</w:t>
      </w:r>
    </w:p>
    <w:p w14:paraId="791C24BD" w14:textId="5C409D88" w:rsidR="00C50522" w:rsidRDefault="000E1968" w:rsidP="004C1D80">
      <w:r>
        <w:t>In the context of natural resource exploitation, t</w:t>
      </w:r>
      <w:r w:rsidR="004C1D80">
        <w:t>he systematic exclusion of key stakeholders</w:t>
      </w:r>
      <w:r w:rsidR="00981C35">
        <w:t>, including civil society organizations</w:t>
      </w:r>
      <w:r w:rsidR="007A2205">
        <w:t xml:space="preserve">, social </w:t>
      </w:r>
      <w:r w:rsidR="00981C35">
        <w:t>movements</w:t>
      </w:r>
      <w:r w:rsidR="007A2205">
        <w:t xml:space="preserve"> and communities</w:t>
      </w:r>
      <w:r w:rsidR="00A86584">
        <w:t>, are</w:t>
      </w:r>
      <w:r>
        <w:t xml:space="preserve"> </w:t>
      </w:r>
      <w:r w:rsidR="004C1D80">
        <w:t>counterproductive</w:t>
      </w:r>
      <w:r w:rsidR="00C50522">
        <w:t xml:space="preserve"> and may, in some circumstances, amount to a deprivation of the rights to freedom of peaceful assembly and of association</w:t>
      </w:r>
      <w:r w:rsidR="00130FBA">
        <w:t>.</w:t>
      </w:r>
      <w:r w:rsidR="00756498">
        <w:t xml:space="preserve"> T</w:t>
      </w:r>
      <w:r w:rsidR="00C50522">
        <w:t xml:space="preserve">his exclusion </w:t>
      </w:r>
      <w:r w:rsidR="00743B9F">
        <w:t xml:space="preserve">can lead to anger, divisions </w:t>
      </w:r>
      <w:r w:rsidR="00130FBA">
        <w:t xml:space="preserve">within </w:t>
      </w:r>
      <w:r w:rsidR="00743B9F">
        <w:t>society and long-term threats to the project in question</w:t>
      </w:r>
      <w:r w:rsidR="004C1D80">
        <w:t xml:space="preserve">. </w:t>
      </w:r>
    </w:p>
    <w:p w14:paraId="47BA6451" w14:textId="6D29A0D7" w:rsidR="003E24D4" w:rsidRPr="00DA21E1" w:rsidRDefault="0077555E" w:rsidP="008444D8">
      <w:r>
        <w:t>A better approach is to</w:t>
      </w:r>
      <w:r w:rsidR="00C50522">
        <w:t xml:space="preserve"> be </w:t>
      </w:r>
      <w:r>
        <w:t xml:space="preserve">more </w:t>
      </w:r>
      <w:r w:rsidR="00C50522">
        <w:t>inclusive of c</w:t>
      </w:r>
      <w:r w:rsidR="004C1D80">
        <w:t xml:space="preserve">ivil society – including informal coalitions of individuals and groups affected by natural resource exploitation – </w:t>
      </w:r>
      <w:r w:rsidR="00C50522">
        <w:t xml:space="preserve">and </w:t>
      </w:r>
      <w:r>
        <w:t xml:space="preserve">more </w:t>
      </w:r>
      <w:r w:rsidR="00C50522">
        <w:t xml:space="preserve">permissive of individuals who exercise their right to freedom of peaceful assembly.  </w:t>
      </w:r>
      <w:r>
        <w:t xml:space="preserve">Civil society plays a key role in </w:t>
      </w:r>
      <w:r w:rsidR="00CD2B44" w:rsidRPr="00DA21E1">
        <w:t xml:space="preserve">advocating </w:t>
      </w:r>
      <w:r w:rsidR="00F65B58">
        <w:t>on behalf of</w:t>
      </w:r>
      <w:r w:rsidR="00CD2B44" w:rsidRPr="00DA21E1">
        <w:t xml:space="preserve"> affected communities</w:t>
      </w:r>
      <w:r w:rsidR="00907571">
        <w:t xml:space="preserve">. </w:t>
      </w:r>
      <w:r w:rsidR="008444D8">
        <w:t>Civil society</w:t>
      </w:r>
      <w:r w:rsidR="004C1D80">
        <w:t xml:space="preserve"> involvement </w:t>
      </w:r>
      <w:r w:rsidR="00F214C5">
        <w:t>contributes to</w:t>
      </w:r>
      <w:r w:rsidR="00981C35">
        <w:t xml:space="preserve"> </w:t>
      </w:r>
      <w:r w:rsidR="004C1D80">
        <w:t xml:space="preserve">communities </w:t>
      </w:r>
      <w:r w:rsidR="00981C35">
        <w:t>being</w:t>
      </w:r>
      <w:r w:rsidR="005E0697">
        <w:t xml:space="preserve"> </w:t>
      </w:r>
      <w:r w:rsidR="004C1D80">
        <w:t>consulted in decisions that affect them</w:t>
      </w:r>
      <w:r>
        <w:t xml:space="preserve"> and </w:t>
      </w:r>
      <w:r w:rsidR="00981C35">
        <w:t>facilitating</w:t>
      </w:r>
      <w:r w:rsidR="007A2205" w:rsidRPr="007A2205">
        <w:t xml:space="preserve"> </w:t>
      </w:r>
      <w:r w:rsidR="007A2205">
        <w:t>access to information, participation and</w:t>
      </w:r>
      <w:r w:rsidR="00981C35">
        <w:t xml:space="preserve"> </w:t>
      </w:r>
      <w:r w:rsidR="00CD2B44" w:rsidRPr="00DA21E1">
        <w:t xml:space="preserve">consent before operations can begin in their lands and territories. </w:t>
      </w:r>
      <w:r>
        <w:t>Civil society involvement can also have other benefits to society</w:t>
      </w:r>
      <w:r w:rsidR="00981C35">
        <w:t xml:space="preserve"> and communities</w:t>
      </w:r>
      <w:r>
        <w:t xml:space="preserve">, such as ensuring that resource exploitation projects respect </w:t>
      </w:r>
      <w:r w:rsidR="000E1968">
        <w:t xml:space="preserve">international </w:t>
      </w:r>
      <w:r w:rsidR="007A2205">
        <w:t>human rights</w:t>
      </w:r>
      <w:r w:rsidR="000E1968">
        <w:t xml:space="preserve"> law and standards</w:t>
      </w:r>
      <w:r w:rsidR="007A2205">
        <w:t xml:space="preserve">, especially </w:t>
      </w:r>
      <w:r>
        <w:t xml:space="preserve">labor and environmental </w:t>
      </w:r>
      <w:r w:rsidR="000E1968">
        <w:t xml:space="preserve">rights </w:t>
      </w:r>
      <w:r>
        <w:t>and that the companies and governments involved are transparent and accountable.</w:t>
      </w:r>
      <w:r w:rsidR="007644F4">
        <w:t xml:space="preserve"> In the event that negative impacts result from resource exploitation projects, civil society involvement encourages </w:t>
      </w:r>
      <w:r w:rsidR="00A86584">
        <w:t>the formulation of mitigation measures and remedies in response.</w:t>
      </w:r>
    </w:p>
    <w:p w14:paraId="54A7426E" w14:textId="1C239060" w:rsidR="00A161B9" w:rsidRPr="00DA21E1" w:rsidRDefault="00197252" w:rsidP="00A161B9">
      <w:r w:rsidRPr="00DA21E1">
        <w:t xml:space="preserve">FOAA </w:t>
      </w:r>
      <w:r w:rsidR="006829EC" w:rsidRPr="00DA21E1">
        <w:t xml:space="preserve">rights </w:t>
      </w:r>
      <w:r w:rsidR="00E746AB" w:rsidRPr="00DA21E1">
        <w:t xml:space="preserve">in the context of the exploitation of natural </w:t>
      </w:r>
      <w:r w:rsidRPr="00DA21E1">
        <w:t>resources</w:t>
      </w:r>
      <w:r w:rsidR="00F65B58">
        <w:t>,</w:t>
      </w:r>
      <w:r w:rsidRPr="00DA21E1">
        <w:t xml:space="preserve"> as</w:t>
      </w:r>
      <w:r w:rsidR="00E746AB" w:rsidRPr="00DA21E1">
        <w:t xml:space="preserve"> in many other contexts</w:t>
      </w:r>
      <w:r w:rsidR="00F65B58">
        <w:t>,</w:t>
      </w:r>
      <w:r w:rsidR="00E746AB" w:rsidRPr="00DA21E1">
        <w:t xml:space="preserve"> offer </w:t>
      </w:r>
      <w:r w:rsidR="000E1968">
        <w:t xml:space="preserve">individuals </w:t>
      </w:r>
      <w:r w:rsidR="00E746AB" w:rsidRPr="00DA21E1">
        <w:t xml:space="preserve">the ability to aggregate and represent their common interests. </w:t>
      </w:r>
      <w:r w:rsidR="000F6690" w:rsidRPr="00DA21E1">
        <w:t xml:space="preserve">Government and corporate interests </w:t>
      </w:r>
      <w:r w:rsidR="00D1342B">
        <w:t xml:space="preserve">in many cases </w:t>
      </w:r>
      <w:r w:rsidR="008920C0" w:rsidRPr="00DA21E1">
        <w:t>prioritize</w:t>
      </w:r>
      <w:r w:rsidR="007A2205">
        <w:t xml:space="preserve"> </w:t>
      </w:r>
      <w:r w:rsidR="000F6690" w:rsidRPr="00DA21E1">
        <w:t xml:space="preserve">revenue-generation over other concerns, and even well-intentioned policies may have adverse effects on the rights of </w:t>
      </w:r>
      <w:r w:rsidR="007A2205">
        <w:t xml:space="preserve">individuals, </w:t>
      </w:r>
      <w:r w:rsidR="000F6690" w:rsidRPr="00DA21E1">
        <w:t xml:space="preserve">communities and groups. </w:t>
      </w:r>
      <w:r w:rsidR="00E746AB" w:rsidRPr="00DA21E1">
        <w:t>I</w:t>
      </w:r>
      <w:r w:rsidR="006829EC" w:rsidRPr="00DA21E1">
        <w:t xml:space="preserve">n many cases, </w:t>
      </w:r>
      <w:r w:rsidR="00756498">
        <w:t>affected</w:t>
      </w:r>
      <w:r w:rsidR="000E1968">
        <w:t xml:space="preserve"> </w:t>
      </w:r>
      <w:r w:rsidR="00756498">
        <w:t>communities</w:t>
      </w:r>
      <w:r w:rsidR="000E1968">
        <w:t xml:space="preserve"> </w:t>
      </w:r>
      <w:r w:rsidR="00D1342B">
        <w:t xml:space="preserve">rely upon assembly and association </w:t>
      </w:r>
      <w:r w:rsidR="00E746AB" w:rsidRPr="00DA21E1">
        <w:t xml:space="preserve">rights </w:t>
      </w:r>
      <w:r w:rsidR="00F214C5">
        <w:t xml:space="preserve">to join efforts, or </w:t>
      </w:r>
      <w:r w:rsidR="00D1342B">
        <w:t xml:space="preserve">as a measure </w:t>
      </w:r>
      <w:r w:rsidR="00A86584">
        <w:t xml:space="preserve">of </w:t>
      </w:r>
      <w:r w:rsidR="00A86584" w:rsidRPr="00DA21E1">
        <w:t>last</w:t>
      </w:r>
      <w:r w:rsidR="006829EC" w:rsidRPr="00DA21E1">
        <w:t xml:space="preserve"> resort</w:t>
      </w:r>
      <w:r w:rsidR="00E746AB" w:rsidRPr="00DA21E1">
        <w:t>,</w:t>
      </w:r>
      <w:r w:rsidR="006829EC" w:rsidRPr="00DA21E1">
        <w:t xml:space="preserve"> to express themselves where other avenues have failed. </w:t>
      </w:r>
      <w:r w:rsidR="00E746AB" w:rsidRPr="00DA21E1">
        <w:t xml:space="preserve">Indeed in many countries, </w:t>
      </w:r>
      <w:r w:rsidR="000E1968" w:rsidRPr="00DA21E1">
        <w:t xml:space="preserve">affected </w:t>
      </w:r>
      <w:r w:rsidR="000E1968">
        <w:lastRenderedPageBreak/>
        <w:t xml:space="preserve">individuals, local residents and </w:t>
      </w:r>
      <w:r w:rsidR="000E1968" w:rsidRPr="00DA21E1">
        <w:t xml:space="preserve">communities </w:t>
      </w:r>
      <w:r w:rsidR="000E1968">
        <w:t xml:space="preserve">take part in </w:t>
      </w:r>
      <w:r w:rsidR="00E746AB" w:rsidRPr="00DA21E1">
        <w:t xml:space="preserve">social protests </w:t>
      </w:r>
      <w:r w:rsidR="00D1342B">
        <w:t xml:space="preserve">and </w:t>
      </w:r>
      <w:r w:rsidR="000E1968">
        <w:t xml:space="preserve">form </w:t>
      </w:r>
      <w:r w:rsidR="00D1342B">
        <w:t xml:space="preserve">informal grassroots opposition movements </w:t>
      </w:r>
      <w:r w:rsidR="000E1968">
        <w:t>as</w:t>
      </w:r>
      <w:r w:rsidR="00756498">
        <w:t xml:space="preserve"> the</w:t>
      </w:r>
      <w:r w:rsidR="00D1342B">
        <w:t xml:space="preserve"> only option</w:t>
      </w:r>
      <w:r w:rsidR="000E1968">
        <w:t>s</w:t>
      </w:r>
      <w:r w:rsidR="00D1342B">
        <w:t xml:space="preserve"> </w:t>
      </w:r>
      <w:r w:rsidR="00E746AB" w:rsidRPr="00DA21E1">
        <w:t>to</w:t>
      </w:r>
      <w:r w:rsidR="006829EC" w:rsidRPr="00DA21E1">
        <w:t xml:space="preserve"> </w:t>
      </w:r>
      <w:r w:rsidR="00F65B58">
        <w:t xml:space="preserve">denounce the </w:t>
      </w:r>
      <w:r w:rsidR="00F65B58" w:rsidRPr="00DA21E1">
        <w:t>lack of consultation or participation in decision-making process</w:t>
      </w:r>
      <w:r w:rsidR="00F65B58">
        <w:t>es</w:t>
      </w:r>
      <w:r w:rsidR="00D1342B">
        <w:t xml:space="preserve">. </w:t>
      </w:r>
      <w:r w:rsidR="000E1968">
        <w:t xml:space="preserve">FOAA rights </w:t>
      </w:r>
      <w:r w:rsidR="00D1342B">
        <w:t xml:space="preserve">may also be their only hope for securing some sort of remedy, particularly in States where judicial and law enforcement systems are corrupt or subservient to the executive. </w:t>
      </w:r>
    </w:p>
    <w:p w14:paraId="2FAC48FC" w14:textId="3517B391" w:rsidR="00DA21E1" w:rsidRDefault="00A139E2" w:rsidP="00DA21E1">
      <w:r>
        <w:t xml:space="preserve">Civil society </w:t>
      </w:r>
      <w:r w:rsidR="000F6690" w:rsidRPr="00DA21E1">
        <w:t xml:space="preserve">advocacy, monitoring and engagement </w:t>
      </w:r>
      <w:r w:rsidR="007A2205">
        <w:t xml:space="preserve">as </w:t>
      </w:r>
      <w:r w:rsidR="00756498">
        <w:t>well</w:t>
      </w:r>
      <w:r w:rsidR="007A2205">
        <w:t xml:space="preserve"> as peaceful protests are</w:t>
      </w:r>
      <w:r w:rsidR="007A2205" w:rsidRPr="00DA21E1">
        <w:t xml:space="preserve"> </w:t>
      </w:r>
      <w:r w:rsidR="000F6690" w:rsidRPr="00DA21E1">
        <w:t>not often welcomed by governments or corporations</w:t>
      </w:r>
      <w:r>
        <w:t xml:space="preserve"> in the context of natural resource exploitation</w:t>
      </w:r>
      <w:r w:rsidR="000F6690" w:rsidRPr="00DA21E1">
        <w:t xml:space="preserve">. As a consequence, the space for individuals and civil society groups to act in these contexts </w:t>
      </w:r>
      <w:r w:rsidR="00F65B58">
        <w:t xml:space="preserve">is limited, </w:t>
      </w:r>
      <w:r w:rsidR="00047757">
        <w:t xml:space="preserve">and </w:t>
      </w:r>
      <w:r w:rsidR="00F65B58">
        <w:t xml:space="preserve">is </w:t>
      </w:r>
      <w:r w:rsidR="000F6690" w:rsidRPr="00DA21E1">
        <w:t xml:space="preserve">becoming even more constrained as the competition for resources increases. </w:t>
      </w:r>
      <w:r w:rsidR="008920C0" w:rsidRPr="00DA21E1">
        <w:t xml:space="preserve">In </w:t>
      </w:r>
      <w:r w:rsidR="007A2205">
        <w:t xml:space="preserve">the past years, in various parts of the </w:t>
      </w:r>
      <w:r w:rsidR="00756498">
        <w:t>w</w:t>
      </w:r>
      <w:r w:rsidR="007A2205">
        <w:t>orld</w:t>
      </w:r>
      <w:r w:rsidR="008920C0" w:rsidRPr="00DA21E1">
        <w:t>, numerous human rights defenders have been killed as a</w:t>
      </w:r>
      <w:r w:rsidR="00535C8A" w:rsidRPr="00DA21E1">
        <w:t xml:space="preserve"> result of their activism</w:t>
      </w:r>
      <w:r w:rsidR="00F65B58">
        <w:t xml:space="preserve"> on resource issues</w:t>
      </w:r>
      <w:r w:rsidR="00535C8A" w:rsidRPr="00DA21E1">
        <w:t>;</w:t>
      </w:r>
      <w:r w:rsidR="008920C0" w:rsidRPr="00DA21E1">
        <w:t xml:space="preserve"> indigenous peoples are arbitrarily deprived of their land and territories disrupting their livelihoods</w:t>
      </w:r>
      <w:r w:rsidR="00535C8A" w:rsidRPr="00DA21E1">
        <w:t>;</w:t>
      </w:r>
      <w:r w:rsidR="008920C0" w:rsidRPr="00DA21E1">
        <w:t xml:space="preserve"> </w:t>
      </w:r>
      <w:r w:rsidR="007A2205">
        <w:t xml:space="preserve">individuals and </w:t>
      </w:r>
      <w:r w:rsidR="008920C0" w:rsidRPr="00DA21E1">
        <w:t>communities have bee</w:t>
      </w:r>
      <w:r w:rsidR="00A60921" w:rsidRPr="00DA21E1">
        <w:t>n</w:t>
      </w:r>
      <w:r w:rsidR="008920C0" w:rsidRPr="00DA21E1">
        <w:t xml:space="preserve"> displaced without access to basic servic</w:t>
      </w:r>
      <w:r w:rsidR="00535C8A" w:rsidRPr="00DA21E1">
        <w:t>es;</w:t>
      </w:r>
      <w:r w:rsidR="008920C0" w:rsidRPr="00DA21E1">
        <w:t xml:space="preserve"> </w:t>
      </w:r>
      <w:r w:rsidR="005E0697" w:rsidRPr="00DA21E1">
        <w:t>organizations</w:t>
      </w:r>
      <w:r w:rsidR="008920C0" w:rsidRPr="00DA21E1">
        <w:t xml:space="preserve"> working on these issues are under constant threat of being shut </w:t>
      </w:r>
      <w:r w:rsidR="00535C8A" w:rsidRPr="00DA21E1">
        <w:t>down (some have been shut down); and</w:t>
      </w:r>
      <w:r w:rsidR="008920C0" w:rsidRPr="00DA21E1">
        <w:t xml:space="preserve"> peaceful assemblies are violently dispersed</w:t>
      </w:r>
      <w:r w:rsidR="00535C8A" w:rsidRPr="00DA21E1">
        <w:t xml:space="preserve">. </w:t>
      </w:r>
    </w:p>
    <w:p w14:paraId="7F78A8E9" w14:textId="77777777" w:rsidR="00981C35" w:rsidRDefault="00981C35" w:rsidP="00981C35">
      <w:r>
        <w:t xml:space="preserve">Against this backdrop, </w:t>
      </w:r>
      <w:r w:rsidRPr="00DA21E1">
        <w:t>the UN</w:t>
      </w:r>
      <w:r>
        <w:t xml:space="preserve"> Special Rapporteur (UNSR) plans to devote his</w:t>
      </w:r>
      <w:r w:rsidRPr="00DA21E1">
        <w:t xml:space="preserve"> upcoming </w:t>
      </w:r>
      <w:r>
        <w:t xml:space="preserve">thematic </w:t>
      </w:r>
      <w:r w:rsidRPr="00DA21E1">
        <w:t>report to the Human Rights Council in June 2015</w:t>
      </w:r>
      <w:r>
        <w:t xml:space="preserve">, to examining </w:t>
      </w:r>
      <w:r w:rsidRPr="00DA21E1">
        <w:t>the exercise of the rights to freedom of peaceful assembly and of association (FOAA rights) in the context of the exploitation of natural resources.</w:t>
      </w:r>
      <w:r w:rsidR="005E2844">
        <w:t xml:space="preserve"> In the development of this report the UNSR is convening a global consultation on this topic in order to draw from expertise and practical experiences. </w:t>
      </w:r>
      <w:r w:rsidRPr="00DA21E1">
        <w:t xml:space="preserve"> </w:t>
      </w:r>
    </w:p>
    <w:p w14:paraId="18B9704E" w14:textId="4E249232" w:rsidR="00981C35" w:rsidRPr="00DA21E1" w:rsidRDefault="00981C35" w:rsidP="00DA21E1">
      <w:r w:rsidRPr="00DA21E1">
        <w:t>This concept note presents preliminary thoughts on the key issues for discussion</w:t>
      </w:r>
      <w:r w:rsidR="005E2844">
        <w:t>.</w:t>
      </w:r>
      <w:r w:rsidRPr="00DA21E1">
        <w:t xml:space="preserve"> </w:t>
      </w:r>
    </w:p>
    <w:p w14:paraId="75056D15" w14:textId="77777777" w:rsidR="008C72EB" w:rsidRPr="00DA21E1" w:rsidRDefault="008C72EB" w:rsidP="008C72EB">
      <w:pPr>
        <w:pStyle w:val="ListParagraph"/>
        <w:numPr>
          <w:ilvl w:val="0"/>
          <w:numId w:val="2"/>
        </w:numPr>
        <w:rPr>
          <w:rFonts w:asciiTheme="minorHAnsi" w:hAnsiTheme="minorHAnsi"/>
          <w:u w:val="single"/>
        </w:rPr>
      </w:pPr>
      <w:r w:rsidRPr="00DA21E1">
        <w:rPr>
          <w:rFonts w:asciiTheme="minorHAnsi" w:hAnsiTheme="minorHAnsi"/>
          <w:u w:val="single"/>
        </w:rPr>
        <w:t>The report</w:t>
      </w:r>
    </w:p>
    <w:p w14:paraId="6C36B59D" w14:textId="77777777" w:rsidR="00DA21E1" w:rsidRDefault="00DA21E1" w:rsidP="00A161B9"/>
    <w:p w14:paraId="09E232F6" w14:textId="454E5B64" w:rsidR="00197252" w:rsidRPr="00DA21E1" w:rsidRDefault="00535C8A" w:rsidP="00A161B9">
      <w:r w:rsidRPr="00DA21E1">
        <w:t xml:space="preserve">In </w:t>
      </w:r>
      <w:r w:rsidR="00A60921" w:rsidRPr="00DA21E1">
        <w:t>his</w:t>
      </w:r>
      <w:r w:rsidRPr="00DA21E1">
        <w:t xml:space="preserve"> report, the Special Rapporteur </w:t>
      </w:r>
      <w:r w:rsidR="00047757">
        <w:t xml:space="preserve">will </w:t>
      </w:r>
      <w:r w:rsidRPr="00DA21E1">
        <w:t xml:space="preserve">explore the nature of restrictions to the rights to freedom of peaceful assembly and of association </w:t>
      </w:r>
      <w:r w:rsidR="00AD0DE2" w:rsidRPr="00DA21E1">
        <w:t>within the context of resource exploitation</w:t>
      </w:r>
      <w:r w:rsidR="00047757">
        <w:t>. He will identify</w:t>
      </w:r>
      <w:r w:rsidR="00047757" w:rsidRPr="00DA21E1">
        <w:t xml:space="preserve"> </w:t>
      </w:r>
      <w:r w:rsidR="00AD0DE2" w:rsidRPr="00DA21E1">
        <w:t>the gaps in the legal framework a</w:t>
      </w:r>
      <w:r w:rsidR="005E2844">
        <w:t>s well as</w:t>
      </w:r>
      <w:r w:rsidR="00AD0DE2" w:rsidRPr="00DA21E1">
        <w:t xml:space="preserve"> practice</w:t>
      </w:r>
      <w:r w:rsidR="005E2844">
        <w:t>s and patterns</w:t>
      </w:r>
      <w:r w:rsidR="00AD0DE2" w:rsidRPr="00DA21E1">
        <w:t xml:space="preserve"> that enable these restrictions and </w:t>
      </w:r>
      <w:r w:rsidR="00047757">
        <w:t xml:space="preserve">explore </w:t>
      </w:r>
      <w:r w:rsidR="00AD0DE2" w:rsidRPr="00DA21E1">
        <w:t>possible solutions to these challenges.</w:t>
      </w:r>
      <w:r w:rsidRPr="00DA21E1">
        <w:t xml:space="preserve"> </w:t>
      </w:r>
      <w:r w:rsidR="00956A5B" w:rsidRPr="00DA21E1">
        <w:t xml:space="preserve">The </w:t>
      </w:r>
      <w:r w:rsidR="005E2844">
        <w:t>UNS</w:t>
      </w:r>
      <w:r w:rsidR="00956A5B" w:rsidRPr="00DA21E1">
        <w:t xml:space="preserve">R </w:t>
      </w:r>
      <w:r w:rsidR="00047757">
        <w:t>begins with</w:t>
      </w:r>
      <w:r w:rsidR="00047757" w:rsidRPr="00DA21E1">
        <w:t xml:space="preserve"> </w:t>
      </w:r>
      <w:r w:rsidR="00956A5B" w:rsidRPr="00DA21E1">
        <w:t xml:space="preserve">the premise that the three key actors – the </w:t>
      </w:r>
      <w:r w:rsidR="00047757">
        <w:t>private entity or individual</w:t>
      </w:r>
      <w:r w:rsidR="00047757" w:rsidRPr="00DA21E1">
        <w:t xml:space="preserve"> </w:t>
      </w:r>
      <w:r w:rsidR="00956A5B" w:rsidRPr="00DA21E1">
        <w:t xml:space="preserve">exploiting the resources, the States in which resources are to be exploited (host State) and the State in which the </w:t>
      </w:r>
      <w:r w:rsidR="00047757">
        <w:t>private entity or individual</w:t>
      </w:r>
      <w:r w:rsidR="00047757" w:rsidRPr="00DA21E1">
        <w:t xml:space="preserve"> </w:t>
      </w:r>
      <w:r w:rsidR="00956A5B" w:rsidRPr="00DA21E1">
        <w:t>are domiciled (State</w:t>
      </w:r>
      <w:r w:rsidR="0070424E">
        <w:t xml:space="preserve"> of origin</w:t>
      </w:r>
      <w:r w:rsidR="00956A5B" w:rsidRPr="00DA21E1">
        <w:t xml:space="preserve">) – have obligations </w:t>
      </w:r>
      <w:r w:rsidR="005E2844">
        <w:t xml:space="preserve">and responsibilities </w:t>
      </w:r>
      <w:r w:rsidR="00956A5B" w:rsidRPr="00DA21E1">
        <w:t xml:space="preserve">in respect to </w:t>
      </w:r>
      <w:r w:rsidR="005E2844">
        <w:t xml:space="preserve">the enjoyment of FOAA rights in the context of </w:t>
      </w:r>
      <w:r w:rsidR="00956A5B" w:rsidRPr="00DA21E1">
        <w:t xml:space="preserve">exploitation activities. </w:t>
      </w:r>
      <w:r w:rsidR="008C72EB" w:rsidRPr="00DA21E1">
        <w:t xml:space="preserve">With these </w:t>
      </w:r>
      <w:r w:rsidR="008C72EB" w:rsidRPr="00A86584">
        <w:t>three</w:t>
      </w:r>
      <w:r w:rsidR="008C72EB" w:rsidRPr="00DA21E1">
        <w:t xml:space="preserve"> categories in mind, </w:t>
      </w:r>
      <w:r w:rsidR="00A86584">
        <w:t>t</w:t>
      </w:r>
      <w:r w:rsidR="008C72EB" w:rsidRPr="00DA21E1">
        <w:t>he report will</w:t>
      </w:r>
      <w:r w:rsidR="005E2844">
        <w:t xml:space="preserve"> therefore</w:t>
      </w:r>
      <w:r w:rsidR="008C72EB" w:rsidRPr="00DA21E1">
        <w:t xml:space="preserve"> assess the legal framework and practice of each </w:t>
      </w:r>
      <w:r w:rsidR="005E2844">
        <w:t xml:space="preserve">category and how these </w:t>
      </w:r>
      <w:r w:rsidR="008C72EB" w:rsidRPr="00DA21E1">
        <w:t>help or hinder FOAA rights.</w:t>
      </w:r>
    </w:p>
    <w:p w14:paraId="45C9C2A3" w14:textId="77777777" w:rsidR="00535C8A" w:rsidRPr="00DA21E1" w:rsidRDefault="00047757" w:rsidP="00A161B9">
      <w:r>
        <w:t>The Special Rapporteur</w:t>
      </w:r>
      <w:r w:rsidRPr="00DA21E1">
        <w:t xml:space="preserve"> </w:t>
      </w:r>
      <w:r w:rsidR="00A60921" w:rsidRPr="00DA21E1">
        <w:t xml:space="preserve">also hopes in this report to </w:t>
      </w:r>
      <w:r w:rsidR="008C72EB" w:rsidRPr="00DA21E1">
        <w:t>annex</w:t>
      </w:r>
      <w:r w:rsidR="00A60921" w:rsidRPr="00DA21E1">
        <w:t xml:space="preserve"> a </w:t>
      </w:r>
      <w:r w:rsidR="008C72EB" w:rsidRPr="00DA21E1">
        <w:t>few</w:t>
      </w:r>
      <w:r w:rsidR="00A60921" w:rsidRPr="00DA21E1">
        <w:t xml:space="preserve"> case studies – essentially first-hand accounts of the challenges that individuals and communities are facing that are illustrative of the significance of the rights to freedom of peaceful assembly and of association.</w:t>
      </w:r>
    </w:p>
    <w:p w14:paraId="7BECBD18" w14:textId="77777777" w:rsidR="00A60921" w:rsidRPr="00DA21E1" w:rsidRDefault="00A60921" w:rsidP="00A60921">
      <w:pPr>
        <w:pStyle w:val="ListParagraph"/>
        <w:numPr>
          <w:ilvl w:val="0"/>
          <w:numId w:val="2"/>
        </w:numPr>
        <w:rPr>
          <w:rFonts w:asciiTheme="minorHAnsi" w:hAnsiTheme="minorHAnsi"/>
          <w:u w:val="single"/>
        </w:rPr>
      </w:pPr>
      <w:r w:rsidRPr="00DA21E1">
        <w:rPr>
          <w:rFonts w:asciiTheme="minorHAnsi" w:hAnsiTheme="minorHAnsi"/>
          <w:u w:val="single"/>
        </w:rPr>
        <w:t>Issues for discussion</w:t>
      </w:r>
    </w:p>
    <w:p w14:paraId="441F36E8" w14:textId="77777777" w:rsidR="00EA1EE8" w:rsidRPr="00DA21E1" w:rsidRDefault="00A60921" w:rsidP="00A60921">
      <w:pPr>
        <w:pStyle w:val="ListParagraph"/>
        <w:numPr>
          <w:ilvl w:val="0"/>
          <w:numId w:val="4"/>
        </w:numPr>
        <w:rPr>
          <w:rFonts w:asciiTheme="minorHAnsi" w:hAnsiTheme="minorHAnsi"/>
        </w:rPr>
      </w:pPr>
      <w:r w:rsidRPr="00DA21E1">
        <w:rPr>
          <w:rFonts w:asciiTheme="minorHAnsi" w:hAnsiTheme="minorHAnsi"/>
        </w:rPr>
        <w:t>Framing of the problem</w:t>
      </w:r>
      <w:r w:rsidR="00EA1EE8" w:rsidRPr="00DA21E1">
        <w:rPr>
          <w:rFonts w:asciiTheme="minorHAnsi" w:hAnsiTheme="minorHAnsi"/>
        </w:rPr>
        <w:t>/scope of the report</w:t>
      </w:r>
      <w:r w:rsidR="00956A5B" w:rsidRPr="00DA21E1">
        <w:rPr>
          <w:rFonts w:asciiTheme="minorHAnsi" w:hAnsiTheme="minorHAnsi"/>
        </w:rPr>
        <w:t>/contextualisation</w:t>
      </w:r>
      <w:r w:rsidRPr="00DA21E1">
        <w:rPr>
          <w:rFonts w:asciiTheme="minorHAnsi" w:hAnsiTheme="minorHAnsi"/>
        </w:rPr>
        <w:t xml:space="preserve"> - </w:t>
      </w:r>
      <w:r w:rsidR="00EA1EE8" w:rsidRPr="00DA21E1">
        <w:rPr>
          <w:rFonts w:asciiTheme="minorHAnsi" w:hAnsiTheme="minorHAnsi"/>
        </w:rPr>
        <w:t>at a broader level the environment for civil society to engage on issues of natural resource exploitation is generally constrained. But this affects the exercise of all human rights. The objective would be:</w:t>
      </w:r>
    </w:p>
    <w:p w14:paraId="7C8A3F6A" w14:textId="77777777" w:rsidR="00EA1EE8" w:rsidRDefault="00EA1EE8" w:rsidP="00EA1EE8">
      <w:pPr>
        <w:pStyle w:val="ListParagraph"/>
        <w:numPr>
          <w:ilvl w:val="1"/>
          <w:numId w:val="4"/>
        </w:numPr>
        <w:rPr>
          <w:rFonts w:asciiTheme="minorHAnsi" w:hAnsiTheme="minorHAnsi"/>
        </w:rPr>
      </w:pPr>
      <w:r w:rsidRPr="00DA21E1">
        <w:rPr>
          <w:rFonts w:asciiTheme="minorHAnsi" w:hAnsiTheme="minorHAnsi"/>
        </w:rPr>
        <w:lastRenderedPageBreak/>
        <w:t xml:space="preserve"> to </w:t>
      </w:r>
      <w:r w:rsidR="00197252" w:rsidRPr="00DA21E1">
        <w:rPr>
          <w:rFonts w:asciiTheme="minorHAnsi" w:hAnsiTheme="minorHAnsi"/>
        </w:rPr>
        <w:t xml:space="preserve">narrowly </w:t>
      </w:r>
      <w:r w:rsidRPr="00DA21E1">
        <w:rPr>
          <w:rFonts w:asciiTheme="minorHAnsi" w:hAnsiTheme="minorHAnsi"/>
        </w:rPr>
        <w:t xml:space="preserve">define the problem </w:t>
      </w:r>
      <w:r w:rsidR="00197252" w:rsidRPr="00DA21E1">
        <w:rPr>
          <w:rFonts w:asciiTheme="minorHAnsi" w:hAnsiTheme="minorHAnsi"/>
        </w:rPr>
        <w:t>in relation to FOAA rights</w:t>
      </w:r>
      <w:r w:rsidRPr="00DA21E1">
        <w:rPr>
          <w:rFonts w:asciiTheme="minorHAnsi" w:hAnsiTheme="minorHAnsi"/>
        </w:rPr>
        <w:t xml:space="preserve">, </w:t>
      </w:r>
      <w:r w:rsidR="00F65B58">
        <w:rPr>
          <w:rFonts w:asciiTheme="minorHAnsi" w:hAnsiTheme="minorHAnsi"/>
        </w:rPr>
        <w:t>nature of violations and how linked to natural resource exploitation</w:t>
      </w:r>
    </w:p>
    <w:p w14:paraId="69220C58" w14:textId="79A69152" w:rsidR="00950232" w:rsidRPr="00DA21E1" w:rsidRDefault="00950232" w:rsidP="00EA1EE8">
      <w:pPr>
        <w:pStyle w:val="ListParagraph"/>
        <w:numPr>
          <w:ilvl w:val="1"/>
          <w:numId w:val="4"/>
        </w:numPr>
        <w:rPr>
          <w:rFonts w:asciiTheme="minorHAnsi" w:hAnsiTheme="minorHAnsi"/>
        </w:rPr>
      </w:pPr>
      <w:r>
        <w:rPr>
          <w:rFonts w:asciiTheme="minorHAnsi" w:hAnsiTheme="minorHAnsi"/>
        </w:rPr>
        <w:t xml:space="preserve">to identify the civil society groups to be covered in the report </w:t>
      </w:r>
    </w:p>
    <w:p w14:paraId="5EAFBD3E" w14:textId="77777777" w:rsidR="00A60921" w:rsidRPr="00DA21E1" w:rsidRDefault="00EA1EE8" w:rsidP="00EA1EE8">
      <w:pPr>
        <w:pStyle w:val="ListParagraph"/>
        <w:numPr>
          <w:ilvl w:val="1"/>
          <w:numId w:val="4"/>
        </w:numPr>
        <w:rPr>
          <w:rFonts w:asciiTheme="minorHAnsi" w:hAnsiTheme="minorHAnsi"/>
        </w:rPr>
      </w:pPr>
      <w:r w:rsidRPr="00DA21E1">
        <w:rPr>
          <w:rFonts w:asciiTheme="minorHAnsi" w:hAnsiTheme="minorHAnsi"/>
        </w:rPr>
        <w:t>providing justification for focussing on the rights in this context</w:t>
      </w:r>
    </w:p>
    <w:p w14:paraId="16FBD78E" w14:textId="77777777" w:rsidR="00EA1EE8" w:rsidRPr="00DA21E1" w:rsidRDefault="00EA1EE8" w:rsidP="00EA1EE8">
      <w:pPr>
        <w:pStyle w:val="ListParagraph"/>
        <w:numPr>
          <w:ilvl w:val="1"/>
          <w:numId w:val="4"/>
        </w:numPr>
        <w:rPr>
          <w:rFonts w:asciiTheme="minorHAnsi" w:hAnsiTheme="minorHAnsi"/>
        </w:rPr>
      </w:pPr>
      <w:r w:rsidRPr="00DA21E1">
        <w:rPr>
          <w:rFonts w:asciiTheme="minorHAnsi" w:hAnsiTheme="minorHAnsi"/>
        </w:rPr>
        <w:t>illustrating the significance of the rights in addressing the challenges arising in the context of natural resource exploitation</w:t>
      </w:r>
    </w:p>
    <w:p w14:paraId="568928DE" w14:textId="77777777" w:rsidR="00EA1EE8" w:rsidRDefault="00EA1EE8" w:rsidP="00EA1EE8">
      <w:pPr>
        <w:pStyle w:val="ListParagraph"/>
        <w:numPr>
          <w:ilvl w:val="1"/>
          <w:numId w:val="4"/>
        </w:numPr>
        <w:rPr>
          <w:rFonts w:asciiTheme="minorHAnsi" w:hAnsiTheme="minorHAnsi"/>
        </w:rPr>
      </w:pPr>
      <w:r w:rsidRPr="00DA21E1">
        <w:rPr>
          <w:rFonts w:asciiTheme="minorHAnsi" w:hAnsiTheme="minorHAnsi"/>
        </w:rPr>
        <w:t xml:space="preserve">identify the </w:t>
      </w:r>
      <w:r w:rsidR="00956A5B" w:rsidRPr="00DA21E1">
        <w:rPr>
          <w:rFonts w:asciiTheme="minorHAnsi" w:hAnsiTheme="minorHAnsi"/>
        </w:rPr>
        <w:t xml:space="preserve">obligations of </w:t>
      </w:r>
      <w:r w:rsidRPr="00DA21E1">
        <w:rPr>
          <w:rFonts w:asciiTheme="minorHAnsi" w:hAnsiTheme="minorHAnsi"/>
        </w:rPr>
        <w:t xml:space="preserve">key players in this context – States, corporations, </w:t>
      </w:r>
      <w:r w:rsidR="00956A5B" w:rsidRPr="00DA21E1">
        <w:rPr>
          <w:rFonts w:asciiTheme="minorHAnsi" w:hAnsiTheme="minorHAnsi"/>
        </w:rPr>
        <w:t>- and the basis of these obligations</w:t>
      </w:r>
      <w:r w:rsidR="005C57BA" w:rsidRPr="00DA21E1">
        <w:rPr>
          <w:rFonts w:asciiTheme="minorHAnsi" w:hAnsiTheme="minorHAnsi"/>
        </w:rPr>
        <w:t xml:space="preserve"> (law or otherwise)</w:t>
      </w:r>
    </w:p>
    <w:p w14:paraId="66F1B506" w14:textId="77777777" w:rsidR="002D3A17" w:rsidRPr="00DA21E1" w:rsidRDefault="002D3A17" w:rsidP="00EA1EE8">
      <w:pPr>
        <w:pStyle w:val="ListParagraph"/>
        <w:numPr>
          <w:ilvl w:val="1"/>
          <w:numId w:val="4"/>
        </w:numPr>
        <w:rPr>
          <w:rFonts w:asciiTheme="minorHAnsi" w:hAnsiTheme="minorHAnsi"/>
        </w:rPr>
      </w:pPr>
      <w:r>
        <w:rPr>
          <w:rFonts w:asciiTheme="minorHAnsi" w:hAnsiTheme="minorHAnsi"/>
        </w:rPr>
        <w:t>conceptual understanding of government/business/civil society – sectoral equity, roles of each sector, etc</w:t>
      </w:r>
    </w:p>
    <w:p w14:paraId="61BA81FE" w14:textId="77777777" w:rsidR="00535C8A" w:rsidRPr="00DA21E1" w:rsidRDefault="00EA1EE8" w:rsidP="00EA1EE8">
      <w:pPr>
        <w:pStyle w:val="ListParagraph"/>
        <w:numPr>
          <w:ilvl w:val="0"/>
          <w:numId w:val="4"/>
        </w:numPr>
        <w:rPr>
          <w:rFonts w:asciiTheme="minorHAnsi" w:hAnsiTheme="minorHAnsi"/>
        </w:rPr>
      </w:pPr>
      <w:r w:rsidRPr="00DA21E1">
        <w:rPr>
          <w:rFonts w:asciiTheme="minorHAnsi" w:hAnsiTheme="minorHAnsi"/>
        </w:rPr>
        <w:t xml:space="preserve">Examining </w:t>
      </w:r>
      <w:r w:rsidR="00773508" w:rsidRPr="00DA21E1">
        <w:rPr>
          <w:rFonts w:asciiTheme="minorHAnsi" w:hAnsiTheme="minorHAnsi"/>
        </w:rPr>
        <w:t>challenges to the exercise of FOAA rights:</w:t>
      </w:r>
    </w:p>
    <w:p w14:paraId="4B19CCCF" w14:textId="77777777" w:rsidR="00773508" w:rsidRPr="00DA21E1" w:rsidRDefault="00773508" w:rsidP="00773508">
      <w:pPr>
        <w:pStyle w:val="ListParagraph"/>
        <w:ind w:left="1440"/>
        <w:rPr>
          <w:rFonts w:asciiTheme="minorHAnsi" w:hAnsiTheme="minorHAnsi"/>
        </w:rPr>
      </w:pPr>
    </w:p>
    <w:p w14:paraId="37D2EB61" w14:textId="77777777" w:rsidR="00EF6801" w:rsidRPr="00DA21E1" w:rsidRDefault="00EF6801" w:rsidP="00EF6801">
      <w:pPr>
        <w:pStyle w:val="ListParagraph"/>
        <w:numPr>
          <w:ilvl w:val="1"/>
          <w:numId w:val="4"/>
        </w:numPr>
        <w:rPr>
          <w:rFonts w:asciiTheme="minorHAnsi" w:hAnsiTheme="minorHAnsi"/>
        </w:rPr>
      </w:pPr>
      <w:r w:rsidRPr="00DA21E1">
        <w:rPr>
          <w:rFonts w:asciiTheme="minorHAnsi" w:hAnsiTheme="minorHAnsi"/>
        </w:rPr>
        <w:t>Legal framework:</w:t>
      </w:r>
    </w:p>
    <w:p w14:paraId="319CBB56" w14:textId="77777777" w:rsidR="005C57BA" w:rsidRPr="00DA21E1" w:rsidRDefault="005C57BA" w:rsidP="00EF6801">
      <w:pPr>
        <w:pStyle w:val="ListParagraph"/>
        <w:numPr>
          <w:ilvl w:val="2"/>
          <w:numId w:val="4"/>
        </w:numPr>
        <w:rPr>
          <w:rFonts w:asciiTheme="minorHAnsi" w:hAnsiTheme="minorHAnsi"/>
        </w:rPr>
      </w:pPr>
      <w:r w:rsidRPr="00DA21E1">
        <w:rPr>
          <w:rFonts w:asciiTheme="minorHAnsi" w:hAnsiTheme="minorHAnsi"/>
        </w:rPr>
        <w:t>Lack of a legal framework – absence of regulation on some issues?</w:t>
      </w:r>
    </w:p>
    <w:p w14:paraId="64CB9693" w14:textId="104D4A5A" w:rsidR="00197252" w:rsidRPr="00DA21E1" w:rsidRDefault="005C57BA" w:rsidP="00EF6801">
      <w:pPr>
        <w:pStyle w:val="ListParagraph"/>
        <w:numPr>
          <w:ilvl w:val="2"/>
          <w:numId w:val="4"/>
        </w:numPr>
        <w:rPr>
          <w:rFonts w:asciiTheme="minorHAnsi" w:hAnsiTheme="minorHAnsi"/>
        </w:rPr>
      </w:pPr>
      <w:r w:rsidRPr="00DA21E1">
        <w:rPr>
          <w:rFonts w:asciiTheme="minorHAnsi" w:hAnsiTheme="minorHAnsi"/>
        </w:rPr>
        <w:t>Inadequate l</w:t>
      </w:r>
      <w:r w:rsidR="00197252" w:rsidRPr="00DA21E1">
        <w:rPr>
          <w:rFonts w:asciiTheme="minorHAnsi" w:hAnsiTheme="minorHAnsi"/>
        </w:rPr>
        <w:t>egal framework</w:t>
      </w:r>
      <w:r w:rsidRPr="00DA21E1">
        <w:rPr>
          <w:rFonts w:asciiTheme="minorHAnsi" w:hAnsiTheme="minorHAnsi"/>
        </w:rPr>
        <w:t xml:space="preserve"> – international human rights law</w:t>
      </w:r>
      <w:r w:rsidR="00EF0697" w:rsidRPr="00DA21E1">
        <w:rPr>
          <w:rFonts w:asciiTheme="minorHAnsi" w:hAnsiTheme="minorHAnsi"/>
        </w:rPr>
        <w:t xml:space="preserve"> - adequacy of </w:t>
      </w:r>
      <w:r w:rsidR="005E2844">
        <w:rPr>
          <w:rFonts w:asciiTheme="minorHAnsi" w:hAnsiTheme="minorHAnsi"/>
        </w:rPr>
        <w:t>UN Guiding Principles on business and human rights</w:t>
      </w:r>
      <w:r w:rsidR="00EF0697" w:rsidRPr="00DA21E1">
        <w:rPr>
          <w:rFonts w:asciiTheme="minorHAnsi" w:hAnsiTheme="minorHAnsi"/>
        </w:rPr>
        <w:t xml:space="preserve"> or similar guidelines?</w:t>
      </w:r>
      <w:r w:rsidRPr="00DA21E1">
        <w:rPr>
          <w:rFonts w:asciiTheme="minorHAnsi" w:hAnsiTheme="minorHAnsi"/>
        </w:rPr>
        <w:t xml:space="preserve">? National laws? </w:t>
      </w:r>
    </w:p>
    <w:p w14:paraId="715C786A" w14:textId="77777777" w:rsidR="005C57BA" w:rsidRPr="00DA21E1" w:rsidRDefault="006A73CC" w:rsidP="00EF6801">
      <w:pPr>
        <w:pStyle w:val="ListParagraph"/>
        <w:numPr>
          <w:ilvl w:val="2"/>
          <w:numId w:val="4"/>
        </w:numPr>
        <w:rPr>
          <w:rFonts w:asciiTheme="minorHAnsi" w:hAnsiTheme="minorHAnsi"/>
        </w:rPr>
      </w:pPr>
      <w:r w:rsidRPr="00DA21E1">
        <w:rPr>
          <w:rFonts w:asciiTheme="minorHAnsi" w:hAnsiTheme="minorHAnsi"/>
        </w:rPr>
        <w:t>D</w:t>
      </w:r>
      <w:r w:rsidR="005C57BA" w:rsidRPr="00DA21E1">
        <w:rPr>
          <w:rFonts w:asciiTheme="minorHAnsi" w:hAnsiTheme="minorHAnsi"/>
        </w:rPr>
        <w:t xml:space="preserve">evelopment of </w:t>
      </w:r>
      <w:r w:rsidR="00EF0697" w:rsidRPr="00DA21E1">
        <w:rPr>
          <w:rFonts w:asciiTheme="minorHAnsi" w:hAnsiTheme="minorHAnsi"/>
        </w:rPr>
        <w:t xml:space="preserve">other relevant </w:t>
      </w:r>
      <w:r w:rsidR="005C57BA" w:rsidRPr="00DA21E1">
        <w:rPr>
          <w:rFonts w:asciiTheme="minorHAnsi" w:hAnsiTheme="minorHAnsi"/>
        </w:rPr>
        <w:t xml:space="preserve">laws </w:t>
      </w:r>
      <w:r w:rsidR="00EF6801" w:rsidRPr="00DA21E1">
        <w:rPr>
          <w:rFonts w:asciiTheme="minorHAnsi" w:hAnsiTheme="minorHAnsi"/>
        </w:rPr>
        <w:t>and policies</w:t>
      </w:r>
      <w:r w:rsidR="005C57BA" w:rsidRPr="00DA21E1">
        <w:rPr>
          <w:rFonts w:asciiTheme="minorHAnsi" w:hAnsiTheme="minorHAnsi"/>
        </w:rPr>
        <w:t xml:space="preserve"> </w:t>
      </w:r>
      <w:r w:rsidR="00EF6801" w:rsidRPr="00DA21E1">
        <w:rPr>
          <w:rFonts w:asciiTheme="minorHAnsi" w:hAnsiTheme="minorHAnsi"/>
        </w:rPr>
        <w:t xml:space="preserve">eg </w:t>
      </w:r>
      <w:r w:rsidR="007A2205">
        <w:rPr>
          <w:rFonts w:asciiTheme="minorHAnsi" w:hAnsiTheme="minorHAnsi"/>
        </w:rPr>
        <w:t xml:space="preserve">HRC resolution 26/9, </w:t>
      </w:r>
      <w:r w:rsidR="00EF6801" w:rsidRPr="00DA21E1">
        <w:rPr>
          <w:rFonts w:asciiTheme="minorHAnsi" w:hAnsiTheme="minorHAnsi"/>
        </w:rPr>
        <w:t>Company law</w:t>
      </w:r>
      <w:r w:rsidR="0070424E">
        <w:rPr>
          <w:rFonts w:asciiTheme="minorHAnsi" w:hAnsiTheme="minorHAnsi"/>
        </w:rPr>
        <w:t>s</w:t>
      </w:r>
      <w:r w:rsidR="00EF6801" w:rsidRPr="00DA21E1">
        <w:rPr>
          <w:rFonts w:asciiTheme="minorHAnsi" w:hAnsiTheme="minorHAnsi"/>
        </w:rPr>
        <w:t>, environmental law</w:t>
      </w:r>
      <w:r w:rsidR="0070424E">
        <w:rPr>
          <w:rFonts w:asciiTheme="minorHAnsi" w:hAnsiTheme="minorHAnsi"/>
        </w:rPr>
        <w:t>s</w:t>
      </w:r>
      <w:r w:rsidR="00EF6801" w:rsidRPr="00DA21E1">
        <w:rPr>
          <w:rFonts w:asciiTheme="minorHAnsi" w:hAnsiTheme="minorHAnsi"/>
        </w:rPr>
        <w:t>, labour law</w:t>
      </w:r>
      <w:r w:rsidR="0070424E">
        <w:rPr>
          <w:rFonts w:asciiTheme="minorHAnsi" w:hAnsiTheme="minorHAnsi"/>
        </w:rPr>
        <w:t>s, land laws</w:t>
      </w:r>
      <w:r w:rsidR="00EF6801" w:rsidRPr="00DA21E1">
        <w:rPr>
          <w:rFonts w:asciiTheme="minorHAnsi" w:hAnsiTheme="minorHAnsi"/>
        </w:rPr>
        <w:t xml:space="preserve"> that do not take account of States human rights obligations</w:t>
      </w:r>
    </w:p>
    <w:p w14:paraId="038473BF" w14:textId="77777777" w:rsidR="005C57BA" w:rsidRPr="00DA21E1" w:rsidRDefault="008C72EB" w:rsidP="00EF6801">
      <w:pPr>
        <w:pStyle w:val="ListParagraph"/>
        <w:numPr>
          <w:ilvl w:val="2"/>
          <w:numId w:val="4"/>
        </w:numPr>
        <w:rPr>
          <w:rFonts w:asciiTheme="minorHAnsi" w:hAnsiTheme="minorHAnsi"/>
        </w:rPr>
      </w:pPr>
      <w:r w:rsidRPr="00DA21E1">
        <w:rPr>
          <w:rFonts w:asciiTheme="minorHAnsi" w:hAnsiTheme="minorHAnsi"/>
        </w:rPr>
        <w:t>I</w:t>
      </w:r>
      <w:r w:rsidR="00EF6801" w:rsidRPr="00DA21E1">
        <w:rPr>
          <w:rFonts w:asciiTheme="minorHAnsi" w:hAnsiTheme="minorHAnsi"/>
        </w:rPr>
        <w:t>nstitutions</w:t>
      </w:r>
      <w:r w:rsidRPr="00DA21E1">
        <w:rPr>
          <w:rFonts w:asciiTheme="minorHAnsi" w:hAnsiTheme="minorHAnsi"/>
        </w:rPr>
        <w:t xml:space="preserve"> - ineffective</w:t>
      </w:r>
      <w:r w:rsidR="00EF6801" w:rsidRPr="00DA21E1">
        <w:rPr>
          <w:rFonts w:asciiTheme="minorHAnsi" w:hAnsiTheme="minorHAnsi"/>
        </w:rPr>
        <w:t>?</w:t>
      </w:r>
      <w:r w:rsidRPr="00DA21E1">
        <w:rPr>
          <w:rFonts w:asciiTheme="minorHAnsi" w:hAnsiTheme="minorHAnsi"/>
        </w:rPr>
        <w:t xml:space="preserve"> </w:t>
      </w:r>
      <w:r w:rsidR="003A2CF5">
        <w:rPr>
          <w:rFonts w:asciiTheme="minorHAnsi" w:hAnsiTheme="minorHAnsi"/>
        </w:rPr>
        <w:t>n</w:t>
      </w:r>
      <w:r w:rsidRPr="00DA21E1">
        <w:rPr>
          <w:rFonts w:asciiTheme="minorHAnsi" w:hAnsiTheme="minorHAnsi"/>
        </w:rPr>
        <w:t>ot independent?</w:t>
      </w:r>
      <w:r w:rsidR="003A2CF5">
        <w:rPr>
          <w:rFonts w:asciiTheme="minorHAnsi" w:hAnsiTheme="minorHAnsi"/>
        </w:rPr>
        <w:t xml:space="preserve"> Lack capacity? </w:t>
      </w:r>
      <w:r w:rsidR="00220535">
        <w:rPr>
          <w:rFonts w:asciiTheme="minorHAnsi" w:hAnsiTheme="minorHAnsi"/>
        </w:rPr>
        <w:t xml:space="preserve">Corrupt? Lack of political will when </w:t>
      </w:r>
      <w:r w:rsidR="00C8033A">
        <w:rPr>
          <w:rFonts w:asciiTheme="minorHAnsi" w:hAnsiTheme="minorHAnsi"/>
        </w:rPr>
        <w:t xml:space="preserve">government officials </w:t>
      </w:r>
      <w:r w:rsidR="00220535">
        <w:rPr>
          <w:rFonts w:asciiTheme="minorHAnsi" w:hAnsiTheme="minorHAnsi"/>
        </w:rPr>
        <w:t xml:space="preserve">are profiting personally from resource exploitation? </w:t>
      </w:r>
      <w:r w:rsidR="007A2205">
        <w:rPr>
          <w:rFonts w:asciiTheme="minorHAnsi" w:hAnsiTheme="minorHAnsi"/>
        </w:rPr>
        <w:t>Independence of the judiciary</w:t>
      </w:r>
    </w:p>
    <w:p w14:paraId="0B5915F8" w14:textId="77777777" w:rsidR="006829EC" w:rsidRPr="00DA21E1" w:rsidRDefault="00EF6801" w:rsidP="00EF6801">
      <w:pPr>
        <w:pStyle w:val="ListParagraph"/>
        <w:numPr>
          <w:ilvl w:val="0"/>
          <w:numId w:val="6"/>
        </w:numPr>
        <w:rPr>
          <w:rFonts w:asciiTheme="minorHAnsi" w:hAnsiTheme="minorHAnsi"/>
        </w:rPr>
      </w:pPr>
      <w:r w:rsidRPr="00DA21E1">
        <w:rPr>
          <w:rFonts w:asciiTheme="minorHAnsi" w:hAnsiTheme="minorHAnsi"/>
        </w:rPr>
        <w:t>Practice</w:t>
      </w:r>
    </w:p>
    <w:p w14:paraId="73AC8BAE" w14:textId="77777777" w:rsidR="00EF6801" w:rsidRPr="00DA21E1" w:rsidRDefault="00EF0697" w:rsidP="00EF6801">
      <w:pPr>
        <w:pStyle w:val="ListParagraph"/>
        <w:numPr>
          <w:ilvl w:val="1"/>
          <w:numId w:val="6"/>
        </w:numPr>
        <w:rPr>
          <w:rFonts w:asciiTheme="minorHAnsi" w:hAnsiTheme="minorHAnsi"/>
        </w:rPr>
      </w:pPr>
      <w:r w:rsidRPr="00DA21E1">
        <w:rPr>
          <w:rFonts w:asciiTheme="minorHAnsi" w:hAnsiTheme="minorHAnsi"/>
        </w:rPr>
        <w:t>Voluntary</w:t>
      </w:r>
      <w:r w:rsidR="00EF6801" w:rsidRPr="00DA21E1">
        <w:rPr>
          <w:rFonts w:asciiTheme="minorHAnsi" w:hAnsiTheme="minorHAnsi"/>
        </w:rPr>
        <w:t xml:space="preserve"> guidelines/industry standards</w:t>
      </w:r>
      <w:r w:rsidRPr="00DA21E1">
        <w:rPr>
          <w:rFonts w:asciiTheme="minorHAnsi" w:hAnsiTheme="minorHAnsi"/>
        </w:rPr>
        <w:t xml:space="preserve"> – do they exist in relation to FOAA rights – labour issues</w:t>
      </w:r>
      <w:r w:rsidR="00EF6801" w:rsidRPr="00DA21E1">
        <w:rPr>
          <w:rFonts w:asciiTheme="minorHAnsi" w:hAnsiTheme="minorHAnsi"/>
        </w:rPr>
        <w:t>?</w:t>
      </w:r>
      <w:r w:rsidR="008C72EB" w:rsidRPr="00DA21E1">
        <w:rPr>
          <w:rFonts w:asciiTheme="minorHAnsi" w:hAnsiTheme="minorHAnsi"/>
        </w:rPr>
        <w:t xml:space="preserve"> How effective?</w:t>
      </w:r>
    </w:p>
    <w:p w14:paraId="3D778214" w14:textId="77777777" w:rsidR="008C72EB" w:rsidRPr="00DA21E1" w:rsidRDefault="008C72EB" w:rsidP="00EF6801">
      <w:pPr>
        <w:pStyle w:val="ListParagraph"/>
        <w:numPr>
          <w:ilvl w:val="1"/>
          <w:numId w:val="6"/>
        </w:numPr>
        <w:rPr>
          <w:rFonts w:asciiTheme="minorHAnsi" w:hAnsiTheme="minorHAnsi"/>
        </w:rPr>
      </w:pPr>
      <w:r w:rsidRPr="00DA21E1">
        <w:rPr>
          <w:rFonts w:asciiTheme="minorHAnsi" w:hAnsiTheme="minorHAnsi"/>
        </w:rPr>
        <w:t>Use of bilateral trade agreements to restrict</w:t>
      </w:r>
      <w:r w:rsidR="002D0120">
        <w:rPr>
          <w:rFonts w:asciiTheme="minorHAnsi" w:hAnsiTheme="minorHAnsi"/>
        </w:rPr>
        <w:t>/protect</w:t>
      </w:r>
      <w:r w:rsidRPr="00DA21E1">
        <w:rPr>
          <w:rFonts w:asciiTheme="minorHAnsi" w:hAnsiTheme="minorHAnsi"/>
        </w:rPr>
        <w:t xml:space="preserve"> FOAA rights?</w:t>
      </w:r>
    </w:p>
    <w:p w14:paraId="2CC61A73" w14:textId="77777777" w:rsidR="00EF6801" w:rsidRPr="00DA21E1" w:rsidRDefault="00EF0697" w:rsidP="00EF6801">
      <w:pPr>
        <w:pStyle w:val="ListParagraph"/>
        <w:numPr>
          <w:ilvl w:val="1"/>
          <w:numId w:val="6"/>
        </w:numPr>
        <w:rPr>
          <w:rFonts w:asciiTheme="minorHAnsi" w:hAnsiTheme="minorHAnsi"/>
        </w:rPr>
      </w:pPr>
      <w:r w:rsidRPr="00DA21E1">
        <w:rPr>
          <w:rFonts w:asciiTheme="minorHAnsi" w:hAnsiTheme="minorHAnsi"/>
        </w:rPr>
        <w:t>I</w:t>
      </w:r>
      <w:r w:rsidR="00EF6801" w:rsidRPr="00DA21E1">
        <w:rPr>
          <w:rFonts w:asciiTheme="minorHAnsi" w:hAnsiTheme="minorHAnsi"/>
        </w:rPr>
        <w:t>mplementation and enforcement</w:t>
      </w:r>
      <w:r w:rsidRPr="00DA21E1">
        <w:rPr>
          <w:rFonts w:asciiTheme="minorHAnsi" w:hAnsiTheme="minorHAnsi"/>
        </w:rPr>
        <w:t xml:space="preserve"> –</w:t>
      </w:r>
      <w:r w:rsidR="008C72EB" w:rsidRPr="00DA21E1">
        <w:rPr>
          <w:rFonts w:asciiTheme="minorHAnsi" w:hAnsiTheme="minorHAnsi"/>
        </w:rPr>
        <w:t xml:space="preserve"> </w:t>
      </w:r>
      <w:r w:rsidRPr="00DA21E1">
        <w:rPr>
          <w:rFonts w:asciiTheme="minorHAnsi" w:hAnsiTheme="minorHAnsi"/>
        </w:rPr>
        <w:t>effective</w:t>
      </w:r>
      <w:r w:rsidR="00EF6801" w:rsidRPr="00DA21E1">
        <w:rPr>
          <w:rFonts w:asciiTheme="minorHAnsi" w:hAnsiTheme="minorHAnsi"/>
        </w:rPr>
        <w:t>?</w:t>
      </w:r>
      <w:r w:rsidRPr="00DA21E1">
        <w:rPr>
          <w:rFonts w:asciiTheme="minorHAnsi" w:hAnsiTheme="minorHAnsi"/>
        </w:rPr>
        <w:t xml:space="preserve"> </w:t>
      </w:r>
      <w:r w:rsidR="008C72EB" w:rsidRPr="00DA21E1">
        <w:rPr>
          <w:rFonts w:asciiTheme="minorHAnsi" w:hAnsiTheme="minorHAnsi"/>
        </w:rPr>
        <w:t xml:space="preserve">Use of private security to prevent peaceful assembly? Prohibitions of assemblies in certain locations? Are there </w:t>
      </w:r>
      <w:r w:rsidR="0070424E">
        <w:rPr>
          <w:rFonts w:asciiTheme="minorHAnsi" w:hAnsiTheme="minorHAnsi"/>
        </w:rPr>
        <w:t>redress</w:t>
      </w:r>
      <w:r w:rsidR="0070424E" w:rsidRPr="00DA21E1">
        <w:rPr>
          <w:rFonts w:asciiTheme="minorHAnsi" w:hAnsiTheme="minorHAnsi"/>
        </w:rPr>
        <w:t xml:space="preserve"> </w:t>
      </w:r>
      <w:r w:rsidR="008C72EB" w:rsidRPr="00DA21E1">
        <w:rPr>
          <w:rFonts w:asciiTheme="minorHAnsi" w:hAnsiTheme="minorHAnsi"/>
        </w:rPr>
        <w:t>mechanisms in event of violations?</w:t>
      </w:r>
    </w:p>
    <w:p w14:paraId="46F177CE" w14:textId="77777777" w:rsidR="00EF6801" w:rsidRPr="00DA21E1" w:rsidRDefault="00EF0697" w:rsidP="00EF6801">
      <w:pPr>
        <w:pStyle w:val="ListParagraph"/>
        <w:numPr>
          <w:ilvl w:val="1"/>
          <w:numId w:val="6"/>
        </w:numPr>
        <w:rPr>
          <w:rFonts w:asciiTheme="minorHAnsi" w:hAnsiTheme="minorHAnsi"/>
        </w:rPr>
      </w:pPr>
      <w:r w:rsidRPr="00DA21E1">
        <w:rPr>
          <w:rFonts w:asciiTheme="minorHAnsi" w:hAnsiTheme="minorHAnsi"/>
        </w:rPr>
        <w:t>P</w:t>
      </w:r>
      <w:r w:rsidR="00773508" w:rsidRPr="00DA21E1">
        <w:rPr>
          <w:rFonts w:asciiTheme="minorHAnsi" w:hAnsiTheme="minorHAnsi"/>
        </w:rPr>
        <w:t>olitical will</w:t>
      </w:r>
      <w:r w:rsidRPr="00DA21E1">
        <w:rPr>
          <w:rFonts w:asciiTheme="minorHAnsi" w:hAnsiTheme="minorHAnsi"/>
        </w:rPr>
        <w:t xml:space="preserve">/ political support provided to corporations – </w:t>
      </w:r>
      <w:r w:rsidR="006A73CC" w:rsidRPr="00DA21E1">
        <w:rPr>
          <w:rFonts w:asciiTheme="minorHAnsi" w:hAnsiTheme="minorHAnsi"/>
        </w:rPr>
        <w:t>(how) does this lead to restrictions of FOAA rights?</w:t>
      </w:r>
    </w:p>
    <w:p w14:paraId="388E055C" w14:textId="77777777" w:rsidR="008C72EB" w:rsidRPr="00DA21E1" w:rsidRDefault="00EF0697" w:rsidP="008C72EB">
      <w:pPr>
        <w:pStyle w:val="ListParagraph"/>
        <w:numPr>
          <w:ilvl w:val="1"/>
          <w:numId w:val="6"/>
        </w:numPr>
        <w:rPr>
          <w:rFonts w:asciiTheme="minorHAnsi" w:hAnsiTheme="minorHAnsi"/>
        </w:rPr>
      </w:pPr>
      <w:r w:rsidRPr="00DA21E1">
        <w:rPr>
          <w:rFonts w:asciiTheme="minorHAnsi" w:hAnsiTheme="minorHAnsi"/>
        </w:rPr>
        <w:t>Unequal bargaining power</w:t>
      </w:r>
      <w:r w:rsidR="006A73CC" w:rsidRPr="00DA21E1">
        <w:rPr>
          <w:rFonts w:asciiTheme="minorHAnsi" w:hAnsiTheme="minorHAnsi"/>
        </w:rPr>
        <w:t xml:space="preserve"> – labour rights – formation of trade unions, right to strike</w:t>
      </w:r>
      <w:r w:rsidR="008C72EB" w:rsidRPr="00DA21E1">
        <w:rPr>
          <w:rFonts w:asciiTheme="minorHAnsi" w:hAnsiTheme="minorHAnsi"/>
        </w:rPr>
        <w:t xml:space="preserve"> restricted</w:t>
      </w:r>
      <w:r w:rsidR="006A73CC" w:rsidRPr="00DA21E1">
        <w:rPr>
          <w:rFonts w:asciiTheme="minorHAnsi" w:hAnsiTheme="minorHAnsi"/>
        </w:rPr>
        <w:t>?</w:t>
      </w:r>
    </w:p>
    <w:p w14:paraId="3B706700" w14:textId="71296138" w:rsidR="008C72EB" w:rsidRPr="00DA21E1" w:rsidRDefault="008C72EB" w:rsidP="008C72EB">
      <w:pPr>
        <w:pStyle w:val="ListParagraph"/>
        <w:numPr>
          <w:ilvl w:val="0"/>
          <w:numId w:val="10"/>
        </w:numPr>
        <w:rPr>
          <w:rFonts w:asciiTheme="minorHAnsi" w:hAnsiTheme="minorHAnsi"/>
        </w:rPr>
      </w:pPr>
      <w:r w:rsidRPr="00DA21E1">
        <w:rPr>
          <w:rFonts w:asciiTheme="minorHAnsi" w:hAnsiTheme="minorHAnsi"/>
        </w:rPr>
        <w:t>Recommendations</w:t>
      </w:r>
    </w:p>
    <w:p w14:paraId="622C36E7" w14:textId="77777777" w:rsidR="00DA21E1" w:rsidRPr="00DA21E1" w:rsidRDefault="00DA21E1" w:rsidP="008C72EB">
      <w:pPr>
        <w:pStyle w:val="ListParagraph"/>
        <w:numPr>
          <w:ilvl w:val="1"/>
          <w:numId w:val="10"/>
        </w:numPr>
        <w:rPr>
          <w:rFonts w:asciiTheme="minorHAnsi" w:hAnsiTheme="minorHAnsi"/>
        </w:rPr>
      </w:pPr>
      <w:r w:rsidRPr="00DA21E1">
        <w:rPr>
          <w:rFonts w:asciiTheme="minorHAnsi" w:hAnsiTheme="minorHAnsi"/>
        </w:rPr>
        <w:t>Legal framework</w:t>
      </w:r>
    </w:p>
    <w:p w14:paraId="554315D5" w14:textId="77777777" w:rsidR="008C72EB" w:rsidRPr="00DA21E1" w:rsidRDefault="00DA21E1" w:rsidP="00DA21E1">
      <w:pPr>
        <w:pStyle w:val="ListParagraph"/>
        <w:numPr>
          <w:ilvl w:val="2"/>
          <w:numId w:val="10"/>
        </w:numPr>
        <w:rPr>
          <w:rFonts w:asciiTheme="minorHAnsi" w:hAnsiTheme="minorHAnsi"/>
        </w:rPr>
      </w:pPr>
      <w:r w:rsidRPr="00DA21E1">
        <w:rPr>
          <w:rFonts w:asciiTheme="minorHAnsi" w:hAnsiTheme="minorHAnsi"/>
        </w:rPr>
        <w:t>Freedom of peaceful assembly</w:t>
      </w:r>
    </w:p>
    <w:p w14:paraId="09A96506" w14:textId="77777777" w:rsidR="00DA21E1" w:rsidRPr="00DA21E1" w:rsidRDefault="00DA21E1" w:rsidP="00DA21E1">
      <w:pPr>
        <w:pStyle w:val="ListParagraph"/>
        <w:numPr>
          <w:ilvl w:val="2"/>
          <w:numId w:val="10"/>
        </w:numPr>
        <w:rPr>
          <w:rFonts w:asciiTheme="minorHAnsi" w:hAnsiTheme="minorHAnsi"/>
        </w:rPr>
      </w:pPr>
      <w:r w:rsidRPr="00DA21E1">
        <w:rPr>
          <w:rFonts w:asciiTheme="minorHAnsi" w:hAnsiTheme="minorHAnsi"/>
        </w:rPr>
        <w:t>Freedom of association</w:t>
      </w:r>
    </w:p>
    <w:p w14:paraId="42954616" w14:textId="77777777" w:rsidR="00DA21E1" w:rsidRPr="00DA21E1" w:rsidRDefault="00DA21E1" w:rsidP="00DA21E1">
      <w:pPr>
        <w:pStyle w:val="ListParagraph"/>
        <w:numPr>
          <w:ilvl w:val="0"/>
          <w:numId w:val="11"/>
        </w:numPr>
        <w:rPr>
          <w:rFonts w:asciiTheme="minorHAnsi" w:hAnsiTheme="minorHAnsi"/>
        </w:rPr>
      </w:pPr>
      <w:r w:rsidRPr="00DA21E1">
        <w:rPr>
          <w:rFonts w:asciiTheme="minorHAnsi" w:hAnsiTheme="minorHAnsi"/>
        </w:rPr>
        <w:t>Practice</w:t>
      </w:r>
    </w:p>
    <w:p w14:paraId="73AE8897" w14:textId="77777777" w:rsidR="00DA21E1" w:rsidRPr="00DA21E1" w:rsidRDefault="00DA21E1" w:rsidP="00DA21E1">
      <w:pPr>
        <w:pStyle w:val="ListParagraph"/>
        <w:numPr>
          <w:ilvl w:val="1"/>
          <w:numId w:val="11"/>
        </w:numPr>
        <w:rPr>
          <w:rFonts w:asciiTheme="minorHAnsi" w:hAnsiTheme="minorHAnsi"/>
        </w:rPr>
      </w:pPr>
      <w:r w:rsidRPr="00DA21E1">
        <w:rPr>
          <w:rFonts w:asciiTheme="minorHAnsi" w:hAnsiTheme="minorHAnsi"/>
        </w:rPr>
        <w:t>Freedom of peaceful assembly</w:t>
      </w:r>
    </w:p>
    <w:p w14:paraId="09BAF774" w14:textId="77777777" w:rsidR="00DA21E1" w:rsidRPr="00DA21E1" w:rsidRDefault="00DA21E1" w:rsidP="00DA21E1">
      <w:pPr>
        <w:pStyle w:val="ListParagraph"/>
        <w:numPr>
          <w:ilvl w:val="1"/>
          <w:numId w:val="11"/>
        </w:numPr>
        <w:rPr>
          <w:rFonts w:asciiTheme="minorHAnsi" w:hAnsiTheme="minorHAnsi"/>
        </w:rPr>
      </w:pPr>
      <w:r w:rsidRPr="00DA21E1">
        <w:rPr>
          <w:rFonts w:asciiTheme="minorHAnsi" w:hAnsiTheme="minorHAnsi"/>
        </w:rPr>
        <w:t>Freedom of association</w:t>
      </w:r>
    </w:p>
    <w:sectPr w:rsidR="00DA21E1" w:rsidRPr="00DA21E1" w:rsidSect="00597E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45F9" w14:textId="77777777" w:rsidR="00AA3E63" w:rsidRDefault="00AA3E63" w:rsidP="00DA21E1">
      <w:pPr>
        <w:spacing w:after="0" w:line="240" w:lineRule="auto"/>
      </w:pPr>
      <w:r>
        <w:separator/>
      </w:r>
    </w:p>
  </w:endnote>
  <w:endnote w:type="continuationSeparator" w:id="0">
    <w:p w14:paraId="7E952AE4" w14:textId="77777777" w:rsidR="00AA3E63" w:rsidRDefault="00AA3E63" w:rsidP="00D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A3A7" w14:textId="77777777" w:rsidR="00AA3E63" w:rsidRDefault="00AA3E63" w:rsidP="00DA21E1">
      <w:pPr>
        <w:spacing w:after="0" w:line="240" w:lineRule="auto"/>
      </w:pPr>
      <w:r>
        <w:separator/>
      </w:r>
    </w:p>
  </w:footnote>
  <w:footnote w:type="continuationSeparator" w:id="0">
    <w:p w14:paraId="432C793A" w14:textId="77777777" w:rsidR="00AA3E63" w:rsidRDefault="00AA3E63" w:rsidP="00DA21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DA10" w14:textId="77777777" w:rsidR="00047757" w:rsidRDefault="0069358B">
    <w:pPr>
      <w:pStyle w:val="Header"/>
    </w:pPr>
    <w:r>
      <w:rPr>
        <w:noProof/>
      </w:rPr>
      <mc:AlternateContent>
        <mc:Choice Requires="wps">
          <w:drawing>
            <wp:anchor distT="0" distB="0" distL="114300" distR="114300" simplePos="0" relativeHeight="251660288" behindDoc="0" locked="0" layoutInCell="0" allowOverlap="1" wp14:anchorId="639E23EC" wp14:editId="44D5049A">
              <wp:simplePos x="0" y="0"/>
              <wp:positionH relativeFrom="margin">
                <wp:align>left</wp:align>
              </wp:positionH>
              <wp:positionV relativeFrom="topMargin">
                <wp:align>center</wp:align>
              </wp:positionV>
              <wp:extent cx="5943600" cy="17081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wps:spPr>
                    <wps:txbx>
                      <w:txbxContent>
                        <w:p w14:paraId="5985D815" w14:textId="77777777" w:rsidR="00047757" w:rsidRPr="00DA21E1" w:rsidRDefault="00047757">
                          <w:pPr>
                            <w:spacing w:after="0" w:line="240" w:lineRule="auto"/>
                            <w:jc w:val="right"/>
                            <w:rPr>
                              <w:rFonts w:asciiTheme="majorHAnsi" w:hAnsiTheme="majorHAnsi"/>
                              <w:i/>
                              <w:noProof/>
                            </w:rPr>
                          </w:pPr>
                          <w:r w:rsidRPr="00DA21E1">
                            <w:rPr>
                              <w:rFonts w:asciiTheme="majorHAnsi" w:hAnsiTheme="majorHAnsi"/>
                              <w:i/>
                              <w:noProof/>
                            </w:rPr>
                            <w:t>Concept Note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639E23EC" id="_x0000_t202" coordsize="21600,21600" o:spt="202" path="m,l,21600r21600,l21600,xe">
              <v:stroke joinstyle="miter"/>
              <v:path gradientshapeok="t" o:connecttype="rect"/>
            </v:shapetype>
            <v:shape id="Text Box 220"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" o:allowincell="f" filled="f" stroked="f">
              <v:textbox style="mso-fit-shape-to-text:t" inset=",0,,0">
                <w:txbxContent>
                  <w:p w14:paraId="5985D815" w14:textId="77777777" w:rsidR="00047757" w:rsidRPr="00DA21E1" w:rsidRDefault="00047757">
                    <w:pPr>
                      <w:spacing w:after="0" w:line="240" w:lineRule="auto"/>
                      <w:jc w:val="right"/>
                      <w:rPr>
                        <w:rFonts w:asciiTheme="majorHAnsi" w:hAnsiTheme="majorHAnsi"/>
                        <w:i/>
                        <w:noProof/>
                      </w:rPr>
                    </w:pPr>
                    <w:r w:rsidRPr="00DA21E1">
                      <w:rPr>
                        <w:rFonts w:asciiTheme="majorHAnsi" w:hAnsiTheme="majorHAnsi"/>
                        <w:i/>
                        <w:noProof/>
                      </w:rPr>
                      <w:t>Concept Note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B1E690E" wp14:editId="18B10126">
              <wp:simplePos x="0" y="0"/>
              <wp:positionH relativeFrom="page">
                <wp:align>right</wp:align>
              </wp:positionH>
              <wp:positionV relativeFrom="topMargin">
                <wp:align>center</wp:align>
              </wp:positionV>
              <wp:extent cx="91059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70815"/>
                      </a:xfrm>
                      <a:prstGeom prst="rect">
                        <a:avLst/>
                      </a:prstGeom>
                      <a:solidFill>
                        <a:schemeClr val="accent6">
                          <a:lumMod val="60000"/>
                          <a:lumOff val="40000"/>
                        </a:schemeClr>
                      </a:solidFill>
                      <a:ln>
                        <a:noFill/>
                      </a:ln>
                    </wps:spPr>
                    <wps:txbx>
                      <w:txbxContent>
                        <w:p w14:paraId="160B9D97" w14:textId="77777777" w:rsidR="00047757" w:rsidRDefault="00597E70">
                          <w:pPr>
                            <w:spacing w:after="0" w:line="240" w:lineRule="auto"/>
                            <w:rPr>
                              <w:color w:val="FFFFFF" w:themeColor="background1"/>
                            </w:rPr>
                          </w:pPr>
                          <w:r>
                            <w:fldChar w:fldCharType="begin"/>
                          </w:r>
                          <w:r w:rsidR="00047757">
                            <w:instrText xml:space="preserve"> PAGE   \* MERGEFORMAT </w:instrText>
                          </w:r>
                          <w:r>
                            <w:fldChar w:fldCharType="separate"/>
                          </w:r>
                          <w:r w:rsidR="001728CB" w:rsidRPr="001728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 w14:anchorId="3B1E690E" id="Text Box 221" o:spid="_x0000_s1027" type="#_x0000_t202" style="position:absolute;margin-left:20.5pt;margin-top:0;width:71.7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" o:allowincell="f" fillcolor="#a8d08d [1945]" stroked="f">
              <v:textbox style="mso-fit-shape-to-text:t" inset=",0,,0">
                <w:txbxContent>
                  <w:p w14:paraId="160B9D97" w14:textId="77777777" w:rsidR="00047757" w:rsidRDefault="00597E70">
                    <w:pPr>
                      <w:spacing w:after="0" w:line="240" w:lineRule="auto"/>
                      <w:rPr>
                        <w:color w:val="FFFFFF" w:themeColor="background1"/>
                      </w:rPr>
                    </w:pPr>
                    <w:r>
                      <w:fldChar w:fldCharType="begin"/>
                    </w:r>
                    <w:r w:rsidR="00047757">
                      <w:instrText xml:space="preserve"> PAGE   \* MERGEFORMAT </w:instrText>
                    </w:r>
                    <w:r>
                      <w:fldChar w:fldCharType="separate"/>
                    </w:r>
                    <w:r w:rsidR="00950232" w:rsidRPr="00950232">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119"/>
    <w:multiLevelType w:val="hybridMultilevel"/>
    <w:tmpl w:val="4FCE1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B63AC0"/>
    <w:multiLevelType w:val="hybridMultilevel"/>
    <w:tmpl w:val="86DAC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251476"/>
    <w:multiLevelType w:val="hybridMultilevel"/>
    <w:tmpl w:val="AA60B95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EF0A15"/>
    <w:multiLevelType w:val="hybridMultilevel"/>
    <w:tmpl w:val="E68C28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A30E95"/>
    <w:multiLevelType w:val="hybridMultilevel"/>
    <w:tmpl w:val="526420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A630B"/>
    <w:multiLevelType w:val="hybridMultilevel"/>
    <w:tmpl w:val="CB1A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114BFA"/>
    <w:multiLevelType w:val="hybridMultilevel"/>
    <w:tmpl w:val="72989EC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A1C2EB3"/>
    <w:multiLevelType w:val="hybridMultilevel"/>
    <w:tmpl w:val="891EC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3032CD"/>
    <w:multiLevelType w:val="hybridMultilevel"/>
    <w:tmpl w:val="3EA0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BD519C"/>
    <w:multiLevelType w:val="hybridMultilevel"/>
    <w:tmpl w:val="0AA24AB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07B785C"/>
    <w:multiLevelType w:val="hybridMultilevel"/>
    <w:tmpl w:val="70D2B314"/>
    <w:lvl w:ilvl="0" w:tplc="070E01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1"/>
  </w:num>
  <w:num w:numId="5">
    <w:abstractNumId w:val="3"/>
  </w:num>
  <w:num w:numId="6">
    <w:abstractNumId w:val="9"/>
  </w:num>
  <w:num w:numId="7">
    <w:abstractNumId w:val="8"/>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5A"/>
    <w:rsid w:val="000153A8"/>
    <w:rsid w:val="00044998"/>
    <w:rsid w:val="00047757"/>
    <w:rsid w:val="000C3D7F"/>
    <w:rsid w:val="000E1968"/>
    <w:rsid w:val="000F6690"/>
    <w:rsid w:val="00130FBA"/>
    <w:rsid w:val="00134E77"/>
    <w:rsid w:val="001519BF"/>
    <w:rsid w:val="001728CB"/>
    <w:rsid w:val="00197252"/>
    <w:rsid w:val="00220535"/>
    <w:rsid w:val="002D0120"/>
    <w:rsid w:val="002D16C9"/>
    <w:rsid w:val="002D3A17"/>
    <w:rsid w:val="00306585"/>
    <w:rsid w:val="00317BCA"/>
    <w:rsid w:val="0037635A"/>
    <w:rsid w:val="003A2CF5"/>
    <w:rsid w:val="003C5EC1"/>
    <w:rsid w:val="003E24D4"/>
    <w:rsid w:val="004C1D80"/>
    <w:rsid w:val="00535C8A"/>
    <w:rsid w:val="005363D2"/>
    <w:rsid w:val="00565DBE"/>
    <w:rsid w:val="00597E70"/>
    <w:rsid w:val="005C46F9"/>
    <w:rsid w:val="005C57BA"/>
    <w:rsid w:val="005E0697"/>
    <w:rsid w:val="005E2844"/>
    <w:rsid w:val="006829EC"/>
    <w:rsid w:val="0069358B"/>
    <w:rsid w:val="006A73CC"/>
    <w:rsid w:val="0070424E"/>
    <w:rsid w:val="00743B9F"/>
    <w:rsid w:val="00756498"/>
    <w:rsid w:val="007644F4"/>
    <w:rsid w:val="007722B1"/>
    <w:rsid w:val="00773508"/>
    <w:rsid w:val="0077555E"/>
    <w:rsid w:val="007A2205"/>
    <w:rsid w:val="007D5074"/>
    <w:rsid w:val="007E2412"/>
    <w:rsid w:val="008444D8"/>
    <w:rsid w:val="008723F2"/>
    <w:rsid w:val="008903F2"/>
    <w:rsid w:val="008920C0"/>
    <w:rsid w:val="008C72EB"/>
    <w:rsid w:val="00907571"/>
    <w:rsid w:val="00950232"/>
    <w:rsid w:val="00956A5B"/>
    <w:rsid w:val="00981C35"/>
    <w:rsid w:val="00A139E2"/>
    <w:rsid w:val="00A161B9"/>
    <w:rsid w:val="00A60921"/>
    <w:rsid w:val="00A60927"/>
    <w:rsid w:val="00A77E54"/>
    <w:rsid w:val="00A86584"/>
    <w:rsid w:val="00AA3E63"/>
    <w:rsid w:val="00AB5347"/>
    <w:rsid w:val="00AD0DE2"/>
    <w:rsid w:val="00AF6A8B"/>
    <w:rsid w:val="00B10120"/>
    <w:rsid w:val="00C50522"/>
    <w:rsid w:val="00C8033A"/>
    <w:rsid w:val="00CD2B44"/>
    <w:rsid w:val="00D1342B"/>
    <w:rsid w:val="00D168F9"/>
    <w:rsid w:val="00D23B06"/>
    <w:rsid w:val="00DA21E1"/>
    <w:rsid w:val="00E01660"/>
    <w:rsid w:val="00E073A4"/>
    <w:rsid w:val="00E746AB"/>
    <w:rsid w:val="00EA1EE8"/>
    <w:rsid w:val="00EB7E40"/>
    <w:rsid w:val="00EF0697"/>
    <w:rsid w:val="00EF6801"/>
    <w:rsid w:val="00F214C5"/>
    <w:rsid w:val="00F65B58"/>
    <w:rsid w:val="00F930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E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E1"/>
  </w:style>
  <w:style w:type="paragraph" w:styleId="Footer">
    <w:name w:val="footer"/>
    <w:basedOn w:val="Normal"/>
    <w:link w:val="FooterChar"/>
    <w:uiPriority w:val="99"/>
    <w:unhideWhenUsed/>
    <w:rsid w:val="00D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E1"/>
  </w:style>
  <w:style w:type="paragraph" w:styleId="BalloonText">
    <w:name w:val="Balloon Text"/>
    <w:basedOn w:val="Normal"/>
    <w:link w:val="BalloonTextChar"/>
    <w:uiPriority w:val="99"/>
    <w:semiHidden/>
    <w:unhideWhenUsed/>
    <w:rsid w:val="00907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757"/>
    <w:rPr>
      <w:sz w:val="18"/>
      <w:szCs w:val="18"/>
    </w:rPr>
  </w:style>
  <w:style w:type="paragraph" w:styleId="CommentText">
    <w:name w:val="annotation text"/>
    <w:basedOn w:val="Normal"/>
    <w:link w:val="CommentTextChar"/>
    <w:uiPriority w:val="99"/>
    <w:semiHidden/>
    <w:unhideWhenUsed/>
    <w:rsid w:val="00047757"/>
    <w:pPr>
      <w:spacing w:line="240" w:lineRule="auto"/>
    </w:pPr>
    <w:rPr>
      <w:sz w:val="24"/>
      <w:szCs w:val="24"/>
    </w:rPr>
  </w:style>
  <w:style w:type="character" w:customStyle="1" w:styleId="CommentTextChar">
    <w:name w:val="Comment Text Char"/>
    <w:basedOn w:val="DefaultParagraphFont"/>
    <w:link w:val="CommentText"/>
    <w:uiPriority w:val="99"/>
    <w:semiHidden/>
    <w:rsid w:val="00047757"/>
    <w:rPr>
      <w:sz w:val="24"/>
      <w:szCs w:val="24"/>
    </w:rPr>
  </w:style>
  <w:style w:type="paragraph" w:styleId="CommentSubject">
    <w:name w:val="annotation subject"/>
    <w:basedOn w:val="CommentText"/>
    <w:next w:val="CommentText"/>
    <w:link w:val="CommentSubjectChar"/>
    <w:uiPriority w:val="99"/>
    <w:semiHidden/>
    <w:unhideWhenUsed/>
    <w:rsid w:val="00047757"/>
    <w:rPr>
      <w:b/>
      <w:bCs/>
      <w:sz w:val="20"/>
      <w:szCs w:val="20"/>
    </w:rPr>
  </w:style>
  <w:style w:type="character" w:customStyle="1" w:styleId="CommentSubjectChar">
    <w:name w:val="Comment Subject Char"/>
    <w:basedOn w:val="CommentTextChar"/>
    <w:link w:val="CommentSubject"/>
    <w:uiPriority w:val="99"/>
    <w:semiHidden/>
    <w:rsid w:val="00047757"/>
    <w:rPr>
      <w:b/>
      <w:bCs/>
      <w:sz w:val="20"/>
      <w:szCs w:val="20"/>
    </w:rPr>
  </w:style>
  <w:style w:type="paragraph" w:styleId="Revision">
    <w:name w:val="Revision"/>
    <w:hidden/>
    <w:uiPriority w:val="99"/>
    <w:semiHidden/>
    <w:rsid w:val="007564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E1"/>
  </w:style>
  <w:style w:type="paragraph" w:styleId="Footer">
    <w:name w:val="footer"/>
    <w:basedOn w:val="Normal"/>
    <w:link w:val="FooterChar"/>
    <w:uiPriority w:val="99"/>
    <w:unhideWhenUsed/>
    <w:rsid w:val="00D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E1"/>
  </w:style>
  <w:style w:type="paragraph" w:styleId="BalloonText">
    <w:name w:val="Balloon Text"/>
    <w:basedOn w:val="Normal"/>
    <w:link w:val="BalloonTextChar"/>
    <w:uiPriority w:val="99"/>
    <w:semiHidden/>
    <w:unhideWhenUsed/>
    <w:rsid w:val="00907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757"/>
    <w:rPr>
      <w:sz w:val="18"/>
      <w:szCs w:val="18"/>
    </w:rPr>
  </w:style>
  <w:style w:type="paragraph" w:styleId="CommentText">
    <w:name w:val="annotation text"/>
    <w:basedOn w:val="Normal"/>
    <w:link w:val="CommentTextChar"/>
    <w:uiPriority w:val="99"/>
    <w:semiHidden/>
    <w:unhideWhenUsed/>
    <w:rsid w:val="00047757"/>
    <w:pPr>
      <w:spacing w:line="240" w:lineRule="auto"/>
    </w:pPr>
    <w:rPr>
      <w:sz w:val="24"/>
      <w:szCs w:val="24"/>
    </w:rPr>
  </w:style>
  <w:style w:type="character" w:customStyle="1" w:styleId="CommentTextChar">
    <w:name w:val="Comment Text Char"/>
    <w:basedOn w:val="DefaultParagraphFont"/>
    <w:link w:val="CommentText"/>
    <w:uiPriority w:val="99"/>
    <w:semiHidden/>
    <w:rsid w:val="00047757"/>
    <w:rPr>
      <w:sz w:val="24"/>
      <w:szCs w:val="24"/>
    </w:rPr>
  </w:style>
  <w:style w:type="paragraph" w:styleId="CommentSubject">
    <w:name w:val="annotation subject"/>
    <w:basedOn w:val="CommentText"/>
    <w:next w:val="CommentText"/>
    <w:link w:val="CommentSubjectChar"/>
    <w:uiPriority w:val="99"/>
    <w:semiHidden/>
    <w:unhideWhenUsed/>
    <w:rsid w:val="00047757"/>
    <w:rPr>
      <w:b/>
      <w:bCs/>
      <w:sz w:val="20"/>
      <w:szCs w:val="20"/>
    </w:rPr>
  </w:style>
  <w:style w:type="character" w:customStyle="1" w:styleId="CommentSubjectChar">
    <w:name w:val="Comment Subject Char"/>
    <w:basedOn w:val="CommentTextChar"/>
    <w:link w:val="CommentSubject"/>
    <w:uiPriority w:val="99"/>
    <w:semiHidden/>
    <w:rsid w:val="00047757"/>
    <w:rPr>
      <w:b/>
      <w:bCs/>
      <w:sz w:val="20"/>
      <w:szCs w:val="20"/>
    </w:rPr>
  </w:style>
  <w:style w:type="paragraph" w:styleId="Revision">
    <w:name w:val="Revision"/>
    <w:hidden/>
    <w:uiPriority w:val="99"/>
    <w:semiHidden/>
    <w:rsid w:val="00756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BD543-C322-264A-BC49-A86E1F8A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1381</Words>
  <Characters>7296</Characters>
  <Application>Microsoft Macintosh Word</Application>
  <DocSecurity>0</DocSecurity>
  <Lines>152</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8</cp:revision>
  <dcterms:created xsi:type="dcterms:W3CDTF">2014-11-25T21:50:00Z</dcterms:created>
  <dcterms:modified xsi:type="dcterms:W3CDTF">2014-11-28T09:56:00Z</dcterms:modified>
</cp:coreProperties>
</file>